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3400"/>
        <w:gridCol w:w="2900"/>
        <w:gridCol w:w="3600"/>
      </w:tblGrid>
      <w:tr>
        <w:tc>
          <w:tcPr>
            <w:tcW w:type="dxa" w:w="3400"/>
            <w:tcBorders>
              <w:top w:val="dashed" w:color="D8D0BC" w:sz="8"/>
              <w:left w:val="dashed" w:color="D8D0BC" w:sz="8"/>
              <w:bottom w:val="dashed" w:color="D8D0BC" w:sz="8"/>
              <w:right w:val="dashed" w:color="D8D0BC" w:sz="8"/>
            </w:tcBorders>
            <w:tcMar>
              <w:top w:type="dxa" w:w="105"/>
              <w:left w:type="dxa" w:w="120"/>
              <w:bottom w:type="dxa" w:w="105"/>
              <w:right w:type="dxa" w:w="120"/>
            </w:tcMar>
            <w:vAlign w:val="center"/>
          </w:tcPr>
          <w:p>
            <w:pPr>
              <w:spacing w:after="20"/>
              <w:jc w:val="center"/>
            </w:pPr>
            <w:r>
              <w:rPr>
                <w:rFonts w:ascii="Poppins" w:cs="Poppins" w:eastAsia="Poppins" w:hAnsi="Poppins"/>
                <w:b/>
                <w:bCs/>
                <w:color w:val="9A9284"/>
                <w:sz w:val="22"/>
                <w:szCs w:val="22"/>
              </w:rPr>
              <w:t xml:space="preserve">[ VOTRE LOGO ]</w:t>
            </w:r>
          </w:p>
          <w:p>
            <w:pPr>
              <w:jc w:val="center"/>
            </w:pPr>
            <w:r>
              <w:rPr>
                <w:rFonts w:ascii="Poppins" w:cs="Poppins" w:eastAsia="Poppins" w:hAnsi="Poppins"/>
                <w:i/>
                <w:iCs/>
                <w:color w:val="9A9284"/>
                <w:sz w:val="12"/>
                <w:szCs w:val="12"/>
              </w:rPr>
              <w:t xml:space="preserve">remplacez ce cadre par votre en-tête</w:t>
            </w:r>
          </w:p>
        </w:tc>
        <w:tc>
          <w:tcPr>
            <w:tcW w:type="dxa" w:w="2900"/>
            <w:tcBorders>
              <w:top w:val="none"/>
              <w:left w:val="none"/>
              <w:bottom w:val="none"/>
              <w:right w:val="none"/>
            </w:tcBorders>
            <w:tcMar>
              <w:top w:type="dxa" w:w="60"/>
              <w:left w:type="dxa" w:w="100"/>
              <w:bottom w:type="dxa" w:w="60"/>
              <w:right w:type="dxa" w:w="100"/>
            </w:tcMar>
            <w:vAlign w:val="top"/>
          </w:tcPr>
          <w:p>
            <w:r>
              <w:rPr>
                <w:rFonts w:ascii="Poppins" w:cs="Poppins" w:eastAsia="Poppins" w:hAnsi="Poppins"/>
                <w:color w:val="211C14"/>
                <w:sz w:val="18"/>
                <w:szCs w:val="18"/>
              </w:rPr>
              <w:t xml:space="preserve"> </w:t>
            </w:r>
          </w:p>
        </w:tc>
        <w:tc>
          <w:tcPr>
            <w:tcW w:type="dxa" w:w="3600"/>
            <w:tcBorders>
              <w:top w:val="none"/>
              <w:left w:val="none"/>
              <w:bottom w:val="none"/>
              <w:right w:val="none"/>
            </w:tcBorders>
            <w:tcMar>
              <w:top w:type="dxa" w:w="60"/>
              <w:left w:type="dxa" w:w="100"/>
              <w:bottom w:type="dxa" w:w="60"/>
              <w:right w:type="dxa" w:w="100"/>
            </w:tcMar>
            <w:vAlign w:val="center"/>
          </w:tcPr>
          <w:p>
            <w:pPr>
              <w:spacing w:after="30"/>
              <w:jc w:val="right"/>
            </w:pPr>
            <w:r>
              <w:rPr>
                <w:rFonts w:ascii="Poppins" w:cs="Poppins" w:eastAsia="Poppins" w:hAnsi="Poppins"/>
                <w:b/>
                <w:bCs/>
                <w:color w:val="656565"/>
                <w:sz w:val="14"/>
                <w:szCs w:val="14"/>
              </w:rPr>
              <w:t xml:space="preserve">Marché n°  </w:t>
            </w:r>
            <w:r>
              <w:rPr>
                <w:rFonts w:ascii="Poppins" w:cs="Poppins" w:eastAsia="Poppins" w:hAnsi="Poppins"/>
                <w:b/>
                <w:bCs/>
                <w:color w:val="700000"/>
                <w:sz w:val="16"/>
                <w:szCs w:val="16"/>
              </w:rPr>
              <w:t xml:space="preserve">[…]</w:t>
            </w:r>
          </w:p>
          <w:p>
            <w:pPr>
              <w:spacing w:after="30"/>
              <w:jc w:val="right"/>
            </w:pPr>
            <w:r>
              <w:rPr>
                <w:rFonts w:ascii="Poppins" w:cs="Poppins" w:eastAsia="Poppins" w:hAnsi="Poppins"/>
                <w:b/>
                <w:bCs/>
                <w:color w:val="656565"/>
                <w:sz w:val="14"/>
                <w:szCs w:val="14"/>
              </w:rPr>
              <w:t xml:space="preserve">Lot  </w:t>
            </w:r>
            <w:r>
              <w:rPr>
                <w:rFonts w:ascii="Poppins" w:cs="Poppins" w:eastAsia="Poppins" w:hAnsi="Poppins"/>
                <w:b/>
                <w:bCs/>
                <w:color w:val="700000"/>
                <w:sz w:val="16"/>
                <w:szCs w:val="16"/>
              </w:rPr>
              <w:t xml:space="preserve">[n° — désignation]</w:t>
            </w:r>
          </w:p>
          <w:p>
            <w:pPr>
              <w:spacing w:after="30"/>
              <w:jc w:val="right"/>
            </w:pPr>
            <w:r>
              <w:rPr>
                <w:rFonts w:ascii="Poppins" w:cs="Poppins" w:eastAsia="Poppins" w:hAnsi="Poppins"/>
                <w:b/>
                <w:bCs/>
                <w:color w:val="656565"/>
                <w:sz w:val="14"/>
                <w:szCs w:val="14"/>
              </w:rPr>
              <w:t xml:space="preserve">Indice / date  </w:t>
            </w:r>
            <w:r>
              <w:rPr>
                <w:rFonts w:ascii="Poppins" w:cs="Poppins" w:eastAsia="Poppins" w:hAnsi="Poppins"/>
                <w:b/>
                <w:bCs/>
                <w:color w:val="700000"/>
                <w:sz w:val="16"/>
                <w:szCs w:val="16"/>
              </w:rPr>
              <w:t xml:space="preserve">[A — JJ/MM/AAAA]</w:t>
            </w:r>
          </w:p>
        </w:tc>
      </w:tr>
    </w:tbl>
    <w:p>
      <w:pPr>
        <w:spacing w:after="90"/>
      </w:pP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7600"/>
        <w:gridCol w:w="2300"/>
      </w:tblGrid>
      <w:tr>
        <w:tc>
          <w:tcPr>
            <w:tcW w:type="dxa" w:w="7600"/>
            <w:tcBorders>
              <w:top w:val="none"/>
              <w:left w:val="none"/>
              <w:bottom w:val="none"/>
              <w:right w:val="none"/>
            </w:tcBorders>
            <w:tcMar>
              <w:top w:type="dxa" w:w="60"/>
              <w:left w:type="dxa" w:w="100"/>
              <w:bottom w:type="dxa" w:w="60"/>
              <w:right w:type="dxa" w:w="100"/>
            </w:tcMar>
            <w:vAlign w:val="center"/>
          </w:tcPr>
          <w:p>
            <w:r>
              <w:rPr>
                <w:rFonts w:ascii="Playfair Display" w:cs="Playfair Display" w:eastAsia="Playfair Display" w:hAnsi="Playfair Display"/>
                <w:b/>
                <w:bCs/>
                <w:color w:val="700000"/>
                <w:sz w:val="32"/>
                <w:szCs w:val="32"/>
              </w:rPr>
              <w:t xml:space="preserve">DOSSIER DES OUVRAGES EXÉCUTÉS — DOE</w:t>
            </w:r>
          </w:p>
        </w:tc>
        <w:tc>
          <w:tcPr>
            <w:tcW w:type="dxa" w:w="2300"/>
            <w:tcBorders>
              <w:top w:val="none"/>
              <w:left w:val="none"/>
              <w:bottom w:val="none"/>
              <w:right w:val="none"/>
            </w:tcBorders>
            <w:shd w:fill="FED2A4" w:val="clear"/>
            <w:tcMar>
              <w:top w:type="dxa" w:w="60"/>
              <w:left w:type="dxa" w:w="100"/>
              <w:bottom w:type="dxa" w:w="60"/>
              <w:right w:type="dxa" w:w="100"/>
            </w:tcMar>
            <w:vAlign w:val="top"/>
          </w:tcPr>
          <w:p>
            <w:r>
              <w:rPr>
                <w:rFonts w:ascii="Poppins" w:cs="Poppins" w:eastAsia="Poppins" w:hAnsi="Poppins"/>
                <w:color w:val="211C14"/>
                <w:sz w:val="8"/>
                <w:szCs w:val="8"/>
              </w:rPr>
              <w:t xml:space="preserve"> </w:t>
            </w:r>
          </w:p>
        </w:tc>
      </w:tr>
    </w:tbl>
    <w:p>
      <w:pPr>
        <w:spacing w:after="120" w:before="45"/>
      </w:pPr>
      <w:r>
        <w:rPr>
          <w:rFonts w:ascii="Poppins" w:cs="Poppins" w:eastAsia="Poppins" w:hAnsi="Poppins"/>
          <w:i/>
          <w:iCs/>
          <w:color w:val="656565"/>
          <w:sz w:val="13"/>
          <w:szCs w:val="13"/>
        </w:rPr>
        <w:t xml:space="preserve">CCAG-Travaux 2021, art. 40 (marchés publics) · NF P 03-001 lorsque le marché privé s'y réfère — page de garde, sommaire type et bordereau de remise</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4800"/>
        <w:gridCol w:w="300"/>
        <w:gridCol w:w="4800"/>
      </w:tblGrid>
      <w:tr>
        <w:tc>
          <w:tcPr>
            <w:tcW w:type="dxa" w:w="4800"/>
            <w:tcBorders>
              <w:top w:val="single" w:color="D8D0BC" w:sz="4"/>
              <w:left w:val="single" w:color="1489AC" w:sz="22"/>
              <w:bottom w:val="single" w:color="D8D0BC" w:sz="4"/>
              <w:right w:val="single" w:color="D8D0BC" w:sz="4"/>
            </w:tcBorders>
            <w:shd w:fill="FAF6E8" w:val="clear"/>
            <w:tcMar>
              <w:top w:type="dxa" w:w="85"/>
              <w:left w:type="dxa" w:w="135"/>
              <w:bottom w:type="dxa" w:w="85"/>
              <w:right w:type="dxa" w:w="115"/>
            </w:tcMar>
            <w:vAlign w:val="top"/>
          </w:tcPr>
          <w:p>
            <w:pPr>
              <w:spacing w:after="50"/>
            </w:pPr>
            <w:r>
              <w:rPr>
                <w:rFonts w:ascii="Poppins" w:cs="Poppins" w:eastAsia="Poppins" w:hAnsi="Poppins"/>
                <w:b/>
                <w:bCs/>
                <w:color w:val="700000"/>
                <w:sz w:val="14"/>
                <w:szCs w:val="14"/>
              </w:rPr>
              <w:t xml:space="preserve">L'OPÉRATION</w:t>
            </w:r>
          </w:p>
          <w:p>
            <w:pPr>
              <w:spacing w:after="40" w:line="245"/>
              <w:jc w:val="both"/>
            </w:pPr>
            <w:r>
              <w:rPr>
                <w:rFonts w:ascii="Poppins" w:cs="Poppins" w:eastAsia="Poppins" w:hAnsi="Poppins"/>
                <w:color w:val="211C14"/>
                <w:sz w:val="18"/>
                <w:szCs w:val="18"/>
              </w:rPr>
              <w:t xml:space="preserve">Opération : </w:t>
            </w:r>
            <w:r>
              <w:rPr>
                <w:rFonts w:ascii="Poppins" w:cs="Poppins" w:eastAsia="Poppins" w:hAnsi="Poppins"/>
                <w:b/>
                <w:bCs/>
                <w:color w:val="700000"/>
                <w:sz w:val="18"/>
                <w:szCs w:val="18"/>
              </w:rPr>
              <w:t xml:space="preserve">[objet — adresse]</w:t>
            </w:r>
          </w:p>
          <w:p>
            <w:pPr>
              <w:spacing w:after="40" w:line="245"/>
              <w:jc w:val="both"/>
            </w:pPr>
            <w:r>
              <w:rPr>
                <w:rFonts w:ascii="Poppins" w:cs="Poppins" w:eastAsia="Poppins" w:hAnsi="Poppins"/>
                <w:color w:val="211C14"/>
                <w:sz w:val="18"/>
                <w:szCs w:val="18"/>
              </w:rPr>
              <w:t xml:space="preserve">Maître d'ouvrage : </w:t>
            </w:r>
            <w:r>
              <w:rPr>
                <w:rFonts w:ascii="Poppins" w:cs="Poppins" w:eastAsia="Poppins" w:hAnsi="Poppins"/>
                <w:b/>
                <w:bCs/>
                <w:color w:val="700000"/>
                <w:sz w:val="18"/>
                <w:szCs w:val="18"/>
              </w:rPr>
              <w:t xml:space="preserve">[…]</w:t>
            </w:r>
          </w:p>
          <w:p>
            <w:pPr>
              <w:spacing w:after="40" w:line="245"/>
              <w:jc w:val="both"/>
            </w:pPr>
            <w:r>
              <w:rPr>
                <w:rFonts w:ascii="Poppins" w:cs="Poppins" w:eastAsia="Poppins" w:hAnsi="Poppins"/>
                <w:color w:val="211C14"/>
                <w:sz w:val="18"/>
                <w:szCs w:val="18"/>
              </w:rPr>
              <w:t xml:space="preserve">Maître d'œuvre : </w:t>
            </w:r>
            <w:r>
              <w:rPr>
                <w:rFonts w:ascii="Poppins" w:cs="Poppins" w:eastAsia="Poppins" w:hAnsi="Poppins"/>
                <w:b/>
                <w:bCs/>
                <w:color w:val="700000"/>
                <w:sz w:val="18"/>
                <w:szCs w:val="18"/>
              </w:rPr>
              <w:t xml:space="preserve">[…]</w:t>
            </w:r>
          </w:p>
          <w:p>
            <w:pPr>
              <w:spacing w:after="0" w:line="245"/>
              <w:jc w:val="both"/>
            </w:pPr>
            <w:r>
              <w:rPr>
                <w:rFonts w:ascii="Poppins" w:cs="Poppins" w:eastAsia="Poppins" w:hAnsi="Poppins"/>
                <w:color w:val="211C14"/>
                <w:sz w:val="18"/>
                <w:szCs w:val="18"/>
              </w:rPr>
              <w:t xml:space="preserve">Coordonnateur SPS : </w:t>
            </w:r>
            <w:r>
              <w:rPr>
                <w:rFonts w:ascii="Poppins" w:cs="Poppins" w:eastAsia="Poppins" w:hAnsi="Poppins"/>
                <w:b/>
                <w:bCs/>
                <w:color w:val="700000"/>
                <w:sz w:val="18"/>
                <w:szCs w:val="18"/>
              </w:rPr>
              <w:t xml:space="preserve">[…]</w:t>
            </w:r>
          </w:p>
        </w:tc>
        <w:tc>
          <w:tcPr>
            <w:tcW w:type="dxa" w:w="300"/>
            <w:tcBorders>
              <w:top w:val="none"/>
              <w:left w:val="none"/>
              <w:bottom w:val="none"/>
              <w:right w:val="none"/>
            </w:tcBorders>
            <w:tcMar>
              <w:top w:type="dxa" w:w="60"/>
              <w:left w:type="dxa" w:w="100"/>
              <w:bottom w:type="dxa" w:w="60"/>
              <w:right w:type="dxa" w:w="100"/>
            </w:tcMar>
            <w:vAlign w:val="top"/>
          </w:tcPr>
          <w:p>
            <w:r>
              <w:rPr>
                <w:rFonts w:ascii="Poppins" w:cs="Poppins" w:eastAsia="Poppins" w:hAnsi="Poppins"/>
                <w:color w:val="211C14"/>
                <w:sz w:val="18"/>
                <w:szCs w:val="18"/>
              </w:rPr>
              <w:t xml:space="preserve"> </w:t>
            </w:r>
          </w:p>
        </w:tc>
        <w:tc>
          <w:tcPr>
            <w:tcW w:type="dxa" w:w="4800"/>
            <w:tcBorders>
              <w:top w:val="single" w:color="D8D0BC" w:sz="4"/>
              <w:left w:val="single" w:color="FDA649" w:sz="22"/>
              <w:bottom w:val="single" w:color="D8D0BC" w:sz="4"/>
              <w:right w:val="single" w:color="D8D0BC" w:sz="4"/>
            </w:tcBorders>
            <w:shd w:fill="FAF6E8" w:val="clear"/>
            <w:tcMar>
              <w:top w:type="dxa" w:w="85"/>
              <w:left w:type="dxa" w:w="135"/>
              <w:bottom w:type="dxa" w:w="85"/>
              <w:right w:type="dxa" w:w="115"/>
            </w:tcMar>
            <w:vAlign w:val="top"/>
          </w:tcPr>
          <w:p>
            <w:pPr>
              <w:spacing w:after="50"/>
            </w:pPr>
            <w:r>
              <w:rPr>
                <w:rFonts w:ascii="Poppins" w:cs="Poppins" w:eastAsia="Poppins" w:hAnsi="Poppins"/>
                <w:b/>
                <w:bCs/>
                <w:color w:val="700000"/>
                <w:sz w:val="14"/>
                <w:szCs w:val="14"/>
              </w:rPr>
              <w:t xml:space="preserve">LE TITULAIRE DU LOT</w:t>
            </w:r>
          </w:p>
          <w:p>
            <w:pPr>
              <w:spacing w:after="40" w:line="245"/>
              <w:jc w:val="both"/>
            </w:pPr>
            <w:r>
              <w:rPr>
                <w:rFonts w:ascii="Poppins" w:cs="Poppins" w:eastAsia="Poppins" w:hAnsi="Poppins"/>
                <w:b/>
                <w:bCs/>
                <w:color w:val="700000"/>
                <w:sz w:val="18"/>
                <w:szCs w:val="18"/>
              </w:rPr>
              <w:t xml:space="preserve">[Raison sociale — SIRET]</w:t>
            </w:r>
          </w:p>
          <w:p>
            <w:pPr>
              <w:spacing w:after="40" w:line="245"/>
              <w:jc w:val="both"/>
            </w:pPr>
            <w:r>
              <w:rPr>
                <w:rFonts w:ascii="Poppins" w:cs="Poppins" w:eastAsia="Poppins" w:hAnsi="Poppins"/>
                <w:color w:val="211C14"/>
                <w:sz w:val="18"/>
                <w:szCs w:val="18"/>
              </w:rPr>
              <w:t xml:space="preserve">Travaux : </w:t>
            </w:r>
            <w:r>
              <w:rPr>
                <w:rFonts w:ascii="Poppins" w:cs="Poppins" w:eastAsia="Poppins" w:hAnsi="Poppins"/>
                <w:b/>
                <w:bCs/>
                <w:color w:val="700000"/>
                <w:sz w:val="18"/>
                <w:szCs w:val="18"/>
              </w:rPr>
              <w:t xml:space="preserve">[nature]</w:t>
            </w:r>
          </w:p>
          <w:p>
            <w:pPr>
              <w:spacing w:after="40" w:line="245"/>
              <w:jc w:val="both"/>
            </w:pPr>
            <w:r>
              <w:rPr>
                <w:rFonts w:ascii="Poppins" w:cs="Poppins" w:eastAsia="Poppins" w:hAnsi="Poppins"/>
                <w:color w:val="211C14"/>
                <w:sz w:val="18"/>
                <w:szCs w:val="18"/>
              </w:rPr>
              <w:t xml:space="preserve">Réception demandée le : </w:t>
            </w:r>
            <w:r>
              <w:rPr>
                <w:rFonts w:ascii="Poppins" w:cs="Poppins" w:eastAsia="Poppins" w:hAnsi="Poppins"/>
                <w:b/>
                <w:bCs/>
                <w:color w:val="700000"/>
                <w:sz w:val="18"/>
                <w:szCs w:val="18"/>
              </w:rPr>
              <w:t xml:space="preserve">[date]</w:t>
            </w:r>
          </w:p>
          <w:p>
            <w:pPr>
              <w:spacing w:after="0" w:line="245"/>
              <w:jc w:val="both"/>
            </w:pPr>
            <w:r>
              <w:rPr>
                <w:rFonts w:ascii="Poppins" w:cs="Poppins" w:eastAsia="Poppins" w:hAnsi="Poppins"/>
                <w:color w:val="211C14"/>
                <w:sz w:val="18"/>
                <w:szCs w:val="18"/>
              </w:rPr>
              <w:t xml:space="preserve">Contact DOE : </w:t>
            </w:r>
            <w:r>
              <w:rPr>
                <w:rFonts w:ascii="Poppins" w:cs="Poppins" w:eastAsia="Poppins" w:hAnsi="Poppins"/>
                <w:b/>
                <w:bCs/>
                <w:color w:val="700000"/>
                <w:sz w:val="18"/>
                <w:szCs w:val="18"/>
              </w:rPr>
              <w:t xml:space="preserve">[nom — tél — email]</w:t>
            </w:r>
          </w:p>
        </w:tc>
      </w:tr>
    </w:tbl>
    <w:p>
      <w:pPr>
        <w:spacing w:after="90"/>
      </w:pP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9900"/>
      </w:tblGrid>
      <w:tr>
        <w:tc>
          <w:tcPr>
            <w:tcW w:type="dxa" w:w="9900"/>
            <w:tcBorders>
              <w:top w:val="single" w:color="D8D0BC" w:sz="4"/>
              <w:left w:val="single" w:color="700000" w:sz="22"/>
              <w:bottom w:val="single" w:color="D8D0BC" w:sz="4"/>
              <w:right w:val="single" w:color="D8D0BC" w:sz="4"/>
            </w:tcBorders>
            <w:shd w:fill="F5F0DD" w:val="clear"/>
            <w:tcMar>
              <w:top w:type="dxa" w:w="70"/>
              <w:left w:type="dxa" w:w="135"/>
              <w:bottom w:type="dxa" w:w="70"/>
              <w:right w:type="dxa" w:w="115"/>
            </w:tcMar>
            <w:vAlign w:val="top"/>
          </w:tcPr>
          <w:p>
            <w:pPr>
              <w:spacing w:after="0" w:line="255"/>
            </w:pPr>
            <w:r>
              <w:rPr>
                <w:rFonts w:ascii="Poppins" w:cs="Poppins" w:eastAsia="Poppins" w:hAnsi="Poppins"/>
                <w:b/>
                <w:bCs/>
                <w:color w:val="700000"/>
                <w:sz w:val="15"/>
                <w:szCs w:val="15"/>
              </w:rPr>
              <w:t xml:space="preserve">⚠ LE TIMING 2021 — </w:t>
            </w:r>
            <w:r>
              <w:rPr>
                <w:rFonts w:ascii="Poppins" w:cs="Poppins" w:eastAsia="Poppins" w:hAnsi="Poppins"/>
                <w:color w:val="211C14"/>
                <w:sz w:val="15"/>
                <w:szCs w:val="15"/>
              </w:rPr>
              <w:t xml:space="preserve">depuis le CCAG-Travaux 2021, L'ENSEMBLE du DOE se remet au maître d'œuvre AVEC LA DEMANDE DE RÉCEPTION (art. 40.1 et 41.1) — le délai d'un mois après réception n'existe plus que sous l'ancien CCAG 2009. Défaut de remise : pénalités ou retenue prélevée sur le dernier acompte (art. 19.3), remboursée dès fourniture. En cas d'allotissement, chaque lot remet son DOE dès l'achèvement de ses ouvrages. Format numérique conforme au CCAP (sécurisé, identifiable, interopérable).</w:t>
            </w:r>
          </w:p>
        </w:tc>
      </w:tr>
    </w:tbl>
    <w:p>
      <w:pPr>
        <w:spacing w:after="100"/>
      </w:pPr>
    </w:p>
    <w:p>
      <w:pPr>
        <w:spacing w:after="70"/>
      </w:pPr>
      <w:r>
        <w:rPr>
          <w:rFonts w:ascii="Playfair Display" w:cs="Playfair Display" w:eastAsia="Playfair Display" w:hAnsi="Playfair Display"/>
          <w:b/>
          <w:bCs/>
          <w:color w:val="700000"/>
          <w:sz w:val="24"/>
          <w:szCs w:val="24"/>
        </w:rPr>
        <w:t xml:space="preserve">SOMMAIRE TYPE — les 9 chapitres</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700"/>
        <w:gridCol w:w="3300"/>
        <w:gridCol w:w="3700"/>
        <w:gridCol w:w="900"/>
        <w:gridCol w:w="1300"/>
      </w:tblGrid>
      <w:tr>
        <w:trPr>
          <w:tblHeader/>
        </w:trPr>
        <w:tc>
          <w:tcPr>
            <w:tcW w:type="dxa" w:w="0"/>
            <w:tcBorders>
              <w:top w:val="none"/>
              <w:left w:val="none"/>
              <w:bottom w:val="none"/>
              <w:right w:val="none"/>
            </w:tcBorders>
            <w:shd w:fill="700000" w:val="clear"/>
            <w:tcMar>
              <w:top w:type="dxa" w:w="60"/>
              <w:left w:type="dxa" w:w="55"/>
              <w:bottom w:type="dxa" w:w="60"/>
              <w:right w:type="dxa" w:w="55"/>
            </w:tcMar>
            <w:vAlign w:val="center"/>
          </w:tcPr>
          <w:p>
            <w:pPr>
              <w:jc w:val="center"/>
            </w:pPr>
            <w:r>
              <w:rPr>
                <w:rFonts w:ascii="Poppins" w:cs="Poppins" w:eastAsia="Poppins" w:hAnsi="Poppins"/>
                <w:b/>
                <w:bCs/>
                <w:color w:val="FFFFFF"/>
                <w:sz w:val="13"/>
                <w:szCs w:val="13"/>
              </w:rPr>
              <w:t xml:space="preserve">Chap.</w:t>
            </w:r>
          </w:p>
        </w:tc>
        <w:tc>
          <w:tcPr>
            <w:tcW w:type="dxa" w:w="0"/>
            <w:tcBorders>
              <w:top w:val="none"/>
              <w:left w:val="none"/>
              <w:bottom w:val="none"/>
              <w:right w:val="none"/>
            </w:tcBorders>
            <w:shd w:fill="700000" w:val="clear"/>
            <w:tcMar>
              <w:top w:type="dxa" w:w="60"/>
              <w:left w:type="dxa" w:w="55"/>
              <w:bottom w:type="dxa" w:w="60"/>
              <w:right w:type="dxa" w:w="55"/>
            </w:tcMar>
            <w:vAlign w:val="center"/>
          </w:tcPr>
          <w:p>
            <w:pPr>
              <w:jc w:val="center"/>
            </w:pPr>
            <w:r>
              <w:rPr>
                <w:rFonts w:ascii="Poppins" w:cs="Poppins" w:eastAsia="Poppins" w:hAnsi="Poppins"/>
                <w:b/>
                <w:bCs/>
                <w:color w:val="FFFFFF"/>
                <w:sz w:val="13"/>
                <w:szCs w:val="13"/>
              </w:rPr>
              <w:t xml:space="preserve">Contenu (CCAG-Travaux 2021, art. 40)</w:t>
            </w:r>
          </w:p>
        </w:tc>
        <w:tc>
          <w:tcPr>
            <w:tcW w:type="dxa" w:w="0"/>
            <w:tcBorders>
              <w:top w:val="none"/>
              <w:left w:val="none"/>
              <w:bottom w:val="none"/>
              <w:right w:val="none"/>
            </w:tcBorders>
            <w:shd w:fill="700000" w:val="clear"/>
            <w:tcMar>
              <w:top w:type="dxa" w:w="60"/>
              <w:left w:type="dxa" w:w="55"/>
              <w:bottom w:type="dxa" w:w="60"/>
              <w:right w:type="dxa" w:w="55"/>
            </w:tcMar>
            <w:vAlign w:val="center"/>
          </w:tcPr>
          <w:p>
            <w:pPr>
              <w:jc w:val="center"/>
            </w:pPr>
            <w:r>
              <w:rPr>
                <w:rFonts w:ascii="Poppins" w:cs="Poppins" w:eastAsia="Poppins" w:hAnsi="Poppins"/>
                <w:b/>
                <w:bCs/>
                <w:color w:val="FFFFFF"/>
                <w:sz w:val="13"/>
                <w:szCs w:val="13"/>
              </w:rPr>
              <w:t xml:space="preserve">Précisions / bonnes pratiques</w:t>
            </w:r>
          </w:p>
        </w:tc>
        <w:tc>
          <w:tcPr>
            <w:tcW w:type="dxa" w:w="0"/>
            <w:tcBorders>
              <w:top w:val="none"/>
              <w:left w:val="none"/>
              <w:bottom w:val="none"/>
              <w:right w:val="none"/>
            </w:tcBorders>
            <w:shd w:fill="700000" w:val="clear"/>
            <w:tcMar>
              <w:top w:type="dxa" w:w="60"/>
              <w:left w:type="dxa" w:w="55"/>
              <w:bottom w:type="dxa" w:w="60"/>
              <w:right w:type="dxa" w:w="55"/>
            </w:tcMar>
            <w:vAlign w:val="center"/>
          </w:tcPr>
          <w:p>
            <w:pPr>
              <w:jc w:val="center"/>
            </w:pPr>
            <w:r>
              <w:rPr>
                <w:rFonts w:ascii="Poppins" w:cs="Poppins" w:eastAsia="Poppins" w:hAnsi="Poppins"/>
                <w:b/>
                <w:bCs/>
                <w:color w:val="FFFFFF"/>
                <w:sz w:val="13"/>
                <w:szCs w:val="13"/>
              </w:rPr>
              <w:t xml:space="preserve">Présent</w:t>
            </w:r>
          </w:p>
        </w:tc>
        <w:tc>
          <w:tcPr>
            <w:tcW w:type="dxa" w:w="0"/>
            <w:tcBorders>
              <w:top w:val="none"/>
              <w:left w:val="none"/>
              <w:bottom w:val="none"/>
              <w:right w:val="none"/>
            </w:tcBorders>
            <w:shd w:fill="700000" w:val="clear"/>
            <w:tcMar>
              <w:top w:type="dxa" w:w="60"/>
              <w:left w:type="dxa" w:w="55"/>
              <w:bottom w:type="dxa" w:w="60"/>
              <w:right w:type="dxa" w:w="55"/>
            </w:tcMar>
            <w:vAlign w:val="center"/>
          </w:tcPr>
          <w:p>
            <w:pPr>
              <w:jc w:val="center"/>
            </w:pPr>
            <w:r>
              <w:rPr>
                <w:rFonts w:ascii="Poppins" w:cs="Poppins" w:eastAsia="Poppins" w:hAnsi="Poppins"/>
                <w:b/>
                <w:bCs/>
                <w:color w:val="FFFFFF"/>
                <w:sz w:val="13"/>
                <w:szCs w:val="13"/>
              </w:rPr>
              <w:t xml:space="preserve">Nb pièces</w:t>
            </w:r>
          </w:p>
        </w:tc>
      </w:tr>
      <w:tr>
        <w:trPr>
          <w:trHeight w:val="340" w:hRule="atLeast"/>
        </w:trPr>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1</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Plans conformes à l'exécution (récolement)</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iCs/>
                <w:color w:val="656565"/>
                <w:sz w:val="14"/>
                <w:szCs w:val="14"/>
              </w:rPr>
              <w:t xml:space="preserve">y compris réseaux et ouvrages indécelables après exécution (VRD, réservations, fourreaux)</w:t>
            </w:r>
          </w:p>
        </w:tc>
        <w:tc>
          <w:tcPr>
            <w:tcW w:type="dxa" w:w="0"/>
            <w:tcBorders>
              <w:top w:val="single" w:color="D8D0BC" w:sz="4"/>
              <w:left w:val="single" w:color="D8D0BC" w:sz="4"/>
              <w:bottom w:val="single" w:color="D8D0BC" w:sz="4"/>
              <w:right w:val="single" w:color="D8D0BC" w:sz="4"/>
            </w:tcBorders>
            <w:tcMar>
              <w:top w:type="dxa" w:w="60"/>
              <w:left w:type="dxa" w:w="100"/>
              <w:bottom w:type="dxa" w:w="60"/>
              <w:right w:type="dxa" w:w="100"/>
            </w:tcMar>
            <w:vAlign w:val="center"/>
          </w:tcPr>
          <w:p>
            <w:pPr>
              <w:jc w:val="center"/>
            </w:pPr>
            <w:r>
              <w:rPr>
                <w:rFonts w:ascii="Poppins" w:cs="Poppins" w:eastAsia="Poppins" w:hAnsi="Poppins"/>
                <w:color w:val="700000"/>
                <w:sz w:val="22"/>
                <w:szCs w:val="22"/>
              </w:rPr>
              <w:t xml:space="preserve">☐</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40" w:hRule="atLeast"/>
        </w:trPr>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2</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Fiches techniques des matériaux et produits mis en œuvre</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iCs/>
                <w:color w:val="656565"/>
                <w:sz w:val="14"/>
                <w:szCs w:val="14"/>
              </w:rPr>
              <w:t xml:space="preserve">une fiche par produit — références exactes posées, pas celles du devis</w:t>
            </w:r>
          </w:p>
        </w:tc>
        <w:tc>
          <w:tcPr>
            <w:tcW w:type="dxa" w:w="0"/>
            <w:tcBorders>
              <w:top w:val="single" w:color="D8D0BC" w:sz="4"/>
              <w:left w:val="single" w:color="D8D0BC" w:sz="4"/>
              <w:bottom w:val="single" w:color="D8D0BC" w:sz="4"/>
              <w:right w:val="single" w:color="D8D0BC" w:sz="4"/>
            </w:tcBorders>
            <w:shd w:fill="FAF6E8" w:val="clear"/>
            <w:tcMar>
              <w:top w:type="dxa" w:w="60"/>
              <w:left w:type="dxa" w:w="100"/>
              <w:bottom w:type="dxa" w:w="60"/>
              <w:right w:type="dxa" w:w="100"/>
            </w:tcMar>
            <w:vAlign w:val="center"/>
          </w:tcPr>
          <w:p>
            <w:pPr>
              <w:jc w:val="center"/>
            </w:pPr>
            <w:r>
              <w:rPr>
                <w:rFonts w:ascii="Poppins" w:cs="Poppins" w:eastAsia="Poppins" w:hAnsi="Poppins"/>
                <w:color w:val="700000"/>
                <w:sz w:val="22"/>
                <w:szCs w:val="22"/>
              </w:rPr>
              <w:t xml:space="preserve">☐</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40" w:hRule="atLeast"/>
        </w:trPr>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3</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Spécifications de pose</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iCs/>
                <w:color w:val="656565"/>
                <w:sz w:val="14"/>
                <w:szCs w:val="14"/>
              </w:rPr>
              <w:t xml:space="preserve">prescriptions du fabricant suivies, adaptations éventuelles</w:t>
            </w:r>
          </w:p>
        </w:tc>
        <w:tc>
          <w:tcPr>
            <w:tcW w:type="dxa" w:w="0"/>
            <w:tcBorders>
              <w:top w:val="single" w:color="D8D0BC" w:sz="4"/>
              <w:left w:val="single" w:color="D8D0BC" w:sz="4"/>
              <w:bottom w:val="single" w:color="D8D0BC" w:sz="4"/>
              <w:right w:val="single" w:color="D8D0BC" w:sz="4"/>
            </w:tcBorders>
            <w:tcMar>
              <w:top w:type="dxa" w:w="60"/>
              <w:left w:type="dxa" w:w="100"/>
              <w:bottom w:type="dxa" w:w="60"/>
              <w:right w:type="dxa" w:w="100"/>
            </w:tcMar>
            <w:vAlign w:val="center"/>
          </w:tcPr>
          <w:p>
            <w:pPr>
              <w:jc w:val="center"/>
            </w:pPr>
            <w:r>
              <w:rPr>
                <w:rFonts w:ascii="Poppins" w:cs="Poppins" w:eastAsia="Poppins" w:hAnsi="Poppins"/>
                <w:color w:val="700000"/>
                <w:sz w:val="22"/>
                <w:szCs w:val="22"/>
              </w:rPr>
              <w:t xml:space="preserve">☐</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40" w:hRule="atLeast"/>
        </w:trPr>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4</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Notices de fonctionnement</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iCs/>
                <w:color w:val="656565"/>
                <w:sz w:val="14"/>
                <w:szCs w:val="14"/>
              </w:rPr>
              <w:t xml:space="preserve">équipements livrés : chaudière, VMC, tableaux, automatismes…</w:t>
            </w:r>
          </w:p>
        </w:tc>
        <w:tc>
          <w:tcPr>
            <w:tcW w:type="dxa" w:w="0"/>
            <w:tcBorders>
              <w:top w:val="single" w:color="D8D0BC" w:sz="4"/>
              <w:left w:val="single" w:color="D8D0BC" w:sz="4"/>
              <w:bottom w:val="single" w:color="D8D0BC" w:sz="4"/>
              <w:right w:val="single" w:color="D8D0BC" w:sz="4"/>
            </w:tcBorders>
            <w:shd w:fill="FAF6E8" w:val="clear"/>
            <w:tcMar>
              <w:top w:type="dxa" w:w="60"/>
              <w:left w:type="dxa" w:w="100"/>
              <w:bottom w:type="dxa" w:w="60"/>
              <w:right w:type="dxa" w:w="100"/>
            </w:tcMar>
            <w:vAlign w:val="center"/>
          </w:tcPr>
          <w:p>
            <w:pPr>
              <w:jc w:val="center"/>
            </w:pPr>
            <w:r>
              <w:rPr>
                <w:rFonts w:ascii="Poppins" w:cs="Poppins" w:eastAsia="Poppins" w:hAnsi="Poppins"/>
                <w:color w:val="700000"/>
                <w:sz w:val="22"/>
                <w:szCs w:val="22"/>
              </w:rPr>
              <w:t xml:space="preserve">☐</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40" w:hRule="atLeast"/>
        </w:trPr>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5</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Prescriptions de maintenance</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iCs/>
                <w:color w:val="656565"/>
                <w:sz w:val="14"/>
                <w:szCs w:val="14"/>
              </w:rPr>
              <w:t xml:space="preserve">périodicités, consommables, points de contrôle — la base du carnet d'entretien</w:t>
            </w:r>
          </w:p>
        </w:tc>
        <w:tc>
          <w:tcPr>
            <w:tcW w:type="dxa" w:w="0"/>
            <w:tcBorders>
              <w:top w:val="single" w:color="D8D0BC" w:sz="4"/>
              <w:left w:val="single" w:color="D8D0BC" w:sz="4"/>
              <w:bottom w:val="single" w:color="D8D0BC" w:sz="4"/>
              <w:right w:val="single" w:color="D8D0BC" w:sz="4"/>
            </w:tcBorders>
            <w:tcMar>
              <w:top w:type="dxa" w:w="60"/>
              <w:left w:type="dxa" w:w="100"/>
              <w:bottom w:type="dxa" w:w="60"/>
              <w:right w:type="dxa" w:w="100"/>
            </w:tcMar>
            <w:vAlign w:val="center"/>
          </w:tcPr>
          <w:p>
            <w:pPr>
              <w:jc w:val="center"/>
            </w:pPr>
            <w:r>
              <w:rPr>
                <w:rFonts w:ascii="Poppins" w:cs="Poppins" w:eastAsia="Poppins" w:hAnsi="Poppins"/>
                <w:color w:val="700000"/>
                <w:sz w:val="22"/>
                <w:szCs w:val="22"/>
              </w:rPr>
              <w:t xml:space="preserve">☐</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40" w:hRule="atLeast"/>
        </w:trPr>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6</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Conditions de garantie des fabricants</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iCs/>
                <w:color w:val="656565"/>
                <w:sz w:val="14"/>
                <w:szCs w:val="14"/>
              </w:rPr>
              <w:t xml:space="preserve">durées, conditions d'activation, preuves d'enregistrement</w:t>
            </w:r>
          </w:p>
        </w:tc>
        <w:tc>
          <w:tcPr>
            <w:tcW w:type="dxa" w:w="0"/>
            <w:tcBorders>
              <w:top w:val="single" w:color="D8D0BC" w:sz="4"/>
              <w:left w:val="single" w:color="D8D0BC" w:sz="4"/>
              <w:bottom w:val="single" w:color="D8D0BC" w:sz="4"/>
              <w:right w:val="single" w:color="D8D0BC" w:sz="4"/>
            </w:tcBorders>
            <w:shd w:fill="FAF6E8" w:val="clear"/>
            <w:tcMar>
              <w:top w:type="dxa" w:w="60"/>
              <w:left w:type="dxa" w:w="100"/>
              <w:bottom w:type="dxa" w:w="60"/>
              <w:right w:type="dxa" w:w="100"/>
            </w:tcMar>
            <w:vAlign w:val="center"/>
          </w:tcPr>
          <w:p>
            <w:pPr>
              <w:jc w:val="center"/>
            </w:pPr>
            <w:r>
              <w:rPr>
                <w:rFonts w:ascii="Poppins" w:cs="Poppins" w:eastAsia="Poppins" w:hAnsi="Poppins"/>
                <w:color w:val="700000"/>
                <w:sz w:val="22"/>
                <w:szCs w:val="22"/>
              </w:rPr>
              <w:t xml:space="preserve">☐</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40" w:hRule="atLeast"/>
        </w:trPr>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7</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PV d'essais et certificats</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iCs/>
                <w:color w:val="656565"/>
                <w:sz w:val="14"/>
                <w:szCs w:val="14"/>
              </w:rPr>
              <w:t xml:space="preserve">Consuel, Qualigaz, essais d'étanchéité, mises en service, autocontrôles</w:t>
            </w:r>
          </w:p>
        </w:tc>
        <w:tc>
          <w:tcPr>
            <w:tcW w:type="dxa" w:w="0"/>
            <w:tcBorders>
              <w:top w:val="single" w:color="D8D0BC" w:sz="4"/>
              <w:left w:val="single" w:color="D8D0BC" w:sz="4"/>
              <w:bottom w:val="single" w:color="D8D0BC" w:sz="4"/>
              <w:right w:val="single" w:color="D8D0BC" w:sz="4"/>
            </w:tcBorders>
            <w:tcMar>
              <w:top w:type="dxa" w:w="60"/>
              <w:left w:type="dxa" w:w="100"/>
              <w:bottom w:type="dxa" w:w="60"/>
              <w:right w:type="dxa" w:w="100"/>
            </w:tcMar>
            <w:vAlign w:val="center"/>
          </w:tcPr>
          <w:p>
            <w:pPr>
              <w:jc w:val="center"/>
            </w:pPr>
            <w:r>
              <w:rPr>
                <w:rFonts w:ascii="Poppins" w:cs="Poppins" w:eastAsia="Poppins" w:hAnsi="Poppins"/>
                <w:color w:val="700000"/>
                <w:sz w:val="22"/>
                <w:szCs w:val="22"/>
              </w:rPr>
              <w:t xml:space="preserve">☐</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40" w:hRule="atLeast"/>
        </w:trPr>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8</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Constats d'évacuation des déchets</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iCs/>
                <w:color w:val="656565"/>
                <w:sz w:val="14"/>
                <w:szCs w:val="14"/>
              </w:rPr>
              <w:t xml:space="preserve">bordereaux, traçabilité (exigence expresse du CCAG 2021)</w:t>
            </w:r>
          </w:p>
        </w:tc>
        <w:tc>
          <w:tcPr>
            <w:tcW w:type="dxa" w:w="0"/>
            <w:tcBorders>
              <w:top w:val="single" w:color="D8D0BC" w:sz="4"/>
              <w:left w:val="single" w:color="D8D0BC" w:sz="4"/>
              <w:bottom w:val="single" w:color="D8D0BC" w:sz="4"/>
              <w:right w:val="single" w:color="D8D0BC" w:sz="4"/>
            </w:tcBorders>
            <w:shd w:fill="FAF6E8" w:val="clear"/>
            <w:tcMar>
              <w:top w:type="dxa" w:w="60"/>
              <w:left w:type="dxa" w:w="100"/>
              <w:bottom w:type="dxa" w:w="60"/>
              <w:right w:type="dxa" w:w="100"/>
            </w:tcMar>
            <w:vAlign w:val="center"/>
          </w:tcPr>
          <w:p>
            <w:pPr>
              <w:jc w:val="center"/>
            </w:pPr>
            <w:r>
              <w:rPr>
                <w:rFonts w:ascii="Poppins" w:cs="Poppins" w:eastAsia="Poppins" w:hAnsi="Poppins"/>
                <w:color w:val="700000"/>
                <w:sz w:val="22"/>
                <w:szCs w:val="22"/>
              </w:rPr>
              <w:t xml:space="preserve">☐</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40" w:hRule="atLeast"/>
        </w:trPr>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9</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4"/>
                <w:szCs w:val="14"/>
              </w:rPr>
              <w:t xml:space="preserve">Éléments pour le DIUO</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iCs/>
                <w:color w:val="656565"/>
                <w:sz w:val="14"/>
                <w:szCs w:val="14"/>
              </w:rPr>
              <w:t xml:space="preserve">validés par le MOE — un exemplaire transmis au coordonnateur SPS</w:t>
            </w:r>
          </w:p>
        </w:tc>
        <w:tc>
          <w:tcPr>
            <w:tcW w:type="dxa" w:w="0"/>
            <w:tcBorders>
              <w:top w:val="single" w:color="D8D0BC" w:sz="4"/>
              <w:left w:val="single" w:color="D8D0BC" w:sz="4"/>
              <w:bottom w:val="single" w:color="D8D0BC" w:sz="4"/>
              <w:right w:val="single" w:color="D8D0BC" w:sz="4"/>
            </w:tcBorders>
            <w:tcMar>
              <w:top w:type="dxa" w:w="60"/>
              <w:left w:type="dxa" w:w="100"/>
              <w:bottom w:type="dxa" w:w="60"/>
              <w:right w:type="dxa" w:w="100"/>
            </w:tcMar>
            <w:vAlign w:val="center"/>
          </w:tcPr>
          <w:p>
            <w:pPr>
              <w:jc w:val="center"/>
            </w:pPr>
            <w:r>
              <w:rPr>
                <w:rFonts w:ascii="Poppins" w:cs="Poppins" w:eastAsia="Poppins" w:hAnsi="Poppins"/>
                <w:color w:val="700000"/>
                <w:sz w:val="22"/>
                <w:szCs w:val="22"/>
              </w:rPr>
              <w:t xml:space="preserve">☐</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bl>
    <w:p>
      <w:pPr>
        <w:spacing w:before="60"/>
      </w:pPr>
      <w:r>
        <w:rPr>
          <w:rFonts w:ascii="Poppins" w:cs="Poppins" w:eastAsia="Poppins" w:hAnsi="Poppins"/>
          <w:i/>
          <w:iCs/>
          <w:color w:val="656565"/>
          <w:sz w:val="14"/>
          <w:szCs w:val="14"/>
        </w:rPr>
        <w:t xml:space="preserve">Le contenu exact est fixé par les documents particuliers du marché (art. 40.2) — le socle minimal : plans conformes exécutés, notices de fonctionnement, prescriptions de maintenance.</w:t>
      </w:r>
    </w:p>
    <w:p>
      <w:r>
        <w:br w:type="page"/>
      </w:r>
    </w:p>
    <w:p>
      <w:pPr>
        <w:spacing w:after="70"/>
      </w:pPr>
      <w:r>
        <w:rPr>
          <w:rFonts w:ascii="Playfair Display" w:cs="Playfair Display" w:eastAsia="Playfair Display" w:hAnsi="Playfair Display"/>
          <w:b/>
          <w:bCs/>
          <w:color w:val="700000"/>
          <w:sz w:val="26"/>
          <w:szCs w:val="26"/>
        </w:rPr>
        <w:t xml:space="preserve">BORDEREAU DE REMISE CONTRADICTOIRE</w:t>
      </w:r>
    </w:p>
    <w:p>
      <w:pPr>
        <w:spacing w:after="80"/>
        <w:jc w:val="both"/>
      </w:pPr>
      <w:r>
        <w:rPr>
          <w:rFonts w:ascii="Poppins" w:cs="Poppins" w:eastAsia="Poppins" w:hAnsi="Poppins"/>
          <w:color w:val="211C14"/>
          <w:sz w:val="18"/>
          <w:szCs w:val="18"/>
        </w:rPr>
        <w:t xml:space="preserve">Le titulaire remet ce jour au maître d'œuvre, à l'appui de sa demande de réception du </w:t>
      </w:r>
      <w:r>
        <w:rPr>
          <w:rFonts w:ascii="Poppins" w:cs="Poppins" w:eastAsia="Poppins" w:hAnsi="Poppins"/>
          <w:b/>
          <w:bCs/>
          <w:color w:val="700000"/>
          <w:sz w:val="18"/>
          <w:szCs w:val="18"/>
        </w:rPr>
        <w:t xml:space="preserve">[date]</w:t>
      </w:r>
      <w:r>
        <w:rPr>
          <w:rFonts w:ascii="Poppins" w:cs="Poppins" w:eastAsia="Poppins" w:hAnsi="Poppins"/>
          <w:color w:val="211C14"/>
          <w:sz w:val="18"/>
          <w:szCs w:val="18"/>
        </w:rPr>
        <w:t xml:space="preserve">, les pièces suivantes du dossier des ouvrages exécutés :</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700"/>
        <w:gridCol w:w="4100"/>
        <w:gridCol w:w="700"/>
        <w:gridCol w:w="2200"/>
        <w:gridCol w:w="2200"/>
      </w:tblGrid>
      <w:tr>
        <w:trPr>
          <w:tblHeader/>
        </w:trPr>
        <w:tc>
          <w:tcPr>
            <w:tcW w:type="dxa" w:w="0"/>
            <w:tcBorders>
              <w:top w:val="none"/>
              <w:left w:val="none"/>
              <w:bottom w:val="none"/>
              <w:right w:val="none"/>
            </w:tcBorders>
            <w:shd w:fill="700000" w:val="clear"/>
            <w:tcMar>
              <w:top w:type="dxa" w:w="60"/>
              <w:left w:type="dxa" w:w="55"/>
              <w:bottom w:type="dxa" w:w="60"/>
              <w:right w:type="dxa" w:w="55"/>
            </w:tcMar>
            <w:vAlign w:val="center"/>
          </w:tcPr>
          <w:p>
            <w:pPr>
              <w:jc w:val="center"/>
            </w:pPr>
            <w:r>
              <w:rPr>
                <w:rFonts w:ascii="Poppins" w:cs="Poppins" w:eastAsia="Poppins" w:hAnsi="Poppins"/>
                <w:b/>
                <w:bCs/>
                <w:color w:val="FFFFFF"/>
                <w:sz w:val="13"/>
                <w:szCs w:val="13"/>
              </w:rPr>
              <w:t xml:space="preserve">Chap.</w:t>
            </w:r>
          </w:p>
        </w:tc>
        <w:tc>
          <w:tcPr>
            <w:tcW w:type="dxa" w:w="0"/>
            <w:tcBorders>
              <w:top w:val="none"/>
              <w:left w:val="none"/>
              <w:bottom w:val="none"/>
              <w:right w:val="none"/>
            </w:tcBorders>
            <w:shd w:fill="700000" w:val="clear"/>
            <w:tcMar>
              <w:top w:type="dxa" w:w="60"/>
              <w:left w:type="dxa" w:w="55"/>
              <w:bottom w:type="dxa" w:w="60"/>
              <w:right w:type="dxa" w:w="55"/>
            </w:tcMar>
            <w:vAlign w:val="center"/>
          </w:tcPr>
          <w:p>
            <w:pPr>
              <w:jc w:val="center"/>
            </w:pPr>
            <w:r>
              <w:rPr>
                <w:rFonts w:ascii="Poppins" w:cs="Poppins" w:eastAsia="Poppins" w:hAnsi="Poppins"/>
                <w:b/>
                <w:bCs/>
                <w:color w:val="FFFFFF"/>
                <w:sz w:val="13"/>
                <w:szCs w:val="13"/>
              </w:rPr>
              <w:t xml:space="preserve">Désignation de la pièce remise</w:t>
            </w:r>
          </w:p>
        </w:tc>
        <w:tc>
          <w:tcPr>
            <w:tcW w:type="dxa" w:w="0"/>
            <w:tcBorders>
              <w:top w:val="none"/>
              <w:left w:val="none"/>
              <w:bottom w:val="none"/>
              <w:right w:val="none"/>
            </w:tcBorders>
            <w:shd w:fill="700000" w:val="clear"/>
            <w:tcMar>
              <w:top w:type="dxa" w:w="60"/>
              <w:left w:type="dxa" w:w="55"/>
              <w:bottom w:type="dxa" w:w="60"/>
              <w:right w:type="dxa" w:w="55"/>
            </w:tcMar>
            <w:vAlign w:val="center"/>
          </w:tcPr>
          <w:p>
            <w:pPr>
              <w:jc w:val="center"/>
            </w:pPr>
            <w:r>
              <w:rPr>
                <w:rFonts w:ascii="Poppins" w:cs="Poppins" w:eastAsia="Poppins" w:hAnsi="Poppins"/>
                <w:b/>
                <w:bCs/>
                <w:color w:val="FFFFFF"/>
                <w:sz w:val="13"/>
                <w:szCs w:val="13"/>
              </w:rPr>
              <w:t xml:space="preserve">Nb</w:t>
            </w:r>
          </w:p>
        </w:tc>
        <w:tc>
          <w:tcPr>
            <w:tcW w:type="dxa" w:w="0"/>
            <w:tcBorders>
              <w:top w:val="none"/>
              <w:left w:val="none"/>
              <w:bottom w:val="none"/>
              <w:right w:val="none"/>
            </w:tcBorders>
            <w:shd w:fill="700000" w:val="clear"/>
            <w:tcMar>
              <w:top w:type="dxa" w:w="60"/>
              <w:left w:type="dxa" w:w="55"/>
              <w:bottom w:type="dxa" w:w="60"/>
              <w:right w:type="dxa" w:w="55"/>
            </w:tcMar>
            <w:vAlign w:val="center"/>
          </w:tcPr>
          <w:p>
            <w:pPr>
              <w:jc w:val="center"/>
            </w:pPr>
            <w:r>
              <w:rPr>
                <w:rFonts w:ascii="Poppins" w:cs="Poppins" w:eastAsia="Poppins" w:hAnsi="Poppins"/>
                <w:b/>
                <w:bCs/>
                <w:color w:val="FFFFFF"/>
                <w:sz w:val="13"/>
                <w:szCs w:val="13"/>
              </w:rPr>
              <w:t xml:space="preserve">Format (PDF / DWG / papier)</w:t>
            </w:r>
          </w:p>
        </w:tc>
        <w:tc>
          <w:tcPr>
            <w:tcW w:type="dxa" w:w="0"/>
            <w:tcBorders>
              <w:top w:val="none"/>
              <w:left w:val="none"/>
              <w:bottom w:val="none"/>
              <w:right w:val="none"/>
            </w:tcBorders>
            <w:shd w:fill="700000" w:val="clear"/>
            <w:tcMar>
              <w:top w:type="dxa" w:w="60"/>
              <w:left w:type="dxa" w:w="55"/>
              <w:bottom w:type="dxa" w:w="60"/>
              <w:right w:type="dxa" w:w="55"/>
            </w:tcMar>
            <w:vAlign w:val="center"/>
          </w:tcPr>
          <w:p>
            <w:pPr>
              <w:jc w:val="center"/>
            </w:pPr>
            <w:r>
              <w:rPr>
                <w:rFonts w:ascii="Poppins" w:cs="Poppins" w:eastAsia="Poppins" w:hAnsi="Poppins"/>
                <w:b/>
                <w:bCs/>
                <w:color w:val="FFFFFF"/>
                <w:sz w:val="13"/>
                <w:szCs w:val="13"/>
              </w:rPr>
              <w:t xml:space="preserve">Observations MOE</w:t>
            </w:r>
          </w:p>
        </w:tc>
      </w:tr>
      <w:tr>
        <w:trPr>
          <w:trHeight w:val="360" w:hRule="atLeast"/>
        </w:trPr>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60" w:hRule="atLeast"/>
        </w:trPr>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60" w:hRule="atLeast"/>
        </w:trPr>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60" w:hRule="atLeast"/>
        </w:trPr>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60" w:hRule="atLeast"/>
        </w:trPr>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60" w:hRule="atLeast"/>
        </w:trPr>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60" w:hRule="atLeast"/>
        </w:trPr>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r>
        <w:trPr>
          <w:trHeight w:val="360" w:hRule="atLeast"/>
        </w:trPr>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68"/>
              <w:left w:type="dxa" w:w="75"/>
              <w:bottom w:type="dxa" w:w="68"/>
              <w:right w:type="dxa" w:w="75"/>
            </w:tcMar>
            <w:vAlign w:val="top"/>
          </w:tcPr>
          <w:p>
            <w:r>
              <w:rPr>
                <w:rFonts w:ascii="Poppins" w:cs="Poppins" w:eastAsia="Poppins" w:hAnsi="Poppins"/>
                <w:i w:val="false"/>
                <w:iCs w:val="false"/>
                <w:color w:val="211C14"/>
                <w:sz w:val="16"/>
                <w:szCs w:val="16"/>
              </w:rPr>
              <w:t xml:space="preserve"> </w:t>
            </w:r>
          </w:p>
        </w:tc>
      </w:tr>
    </w:tbl>
    <w:p>
      <w:pPr>
        <w:spacing w:after="90"/>
      </w:pPr>
    </w:p>
    <w:p>
      <w:pPr>
        <w:spacing w:after="80"/>
        <w:jc w:val="both"/>
      </w:pPr>
      <w:r>
        <w:rPr>
          <w:rFonts w:ascii="Poppins" w:cs="Poppins" w:eastAsia="Poppins" w:hAnsi="Poppins"/>
          <w:color w:val="211C14"/>
          <w:sz w:val="18"/>
          <w:szCs w:val="18"/>
        </w:rPr>
        <w:t xml:space="preserve">Un exemplaire des éléments nécessaires au DIUO (chap. 9) est transmis au coordonnateur SPS le </w:t>
      </w:r>
      <w:r>
        <w:rPr>
          <w:rFonts w:ascii="Poppins" w:cs="Poppins" w:eastAsia="Poppins" w:hAnsi="Poppins"/>
          <w:b/>
          <w:bCs/>
          <w:color w:val="700000"/>
          <w:sz w:val="18"/>
          <w:szCs w:val="18"/>
        </w:rPr>
        <w:t xml:space="preserve">[date]</w:t>
      </w:r>
      <w:r>
        <w:rPr>
          <w:rFonts w:ascii="Poppins" w:cs="Poppins" w:eastAsia="Poppins" w:hAnsi="Poppins"/>
          <w:color w:val="211C14"/>
          <w:sz w:val="18"/>
          <w:szCs w:val="18"/>
        </w:rPr>
        <w:t xml:space="preserve">.</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4950"/>
        <w:gridCol w:w="4950"/>
      </w:tblGrid>
      <w:tr>
        <w:trPr>
          <w:trHeight w:val="1100" w:hRule="atLeast"/>
        </w:trPr>
        <w:tc>
          <w:tcPr>
            <w:tcW w:type="dxa" w:w="0"/>
            <w:tcBorders>
              <w:top w:val="single" w:color="D8D0BC" w:sz="4"/>
              <w:left w:val="single" w:color="D8D0BC" w:sz="4"/>
              <w:bottom w:val="single" w:color="D8D0BC" w:sz="4"/>
              <w:right w:val="single" w:color="D8D0BC" w:sz="4"/>
            </w:tcBorders>
            <w:tcMar>
              <w:top w:type="dxa" w:w="85"/>
              <w:left w:type="dxa" w:w="115"/>
              <w:bottom w:type="dxa" w:w="85"/>
              <w:right w:type="dxa" w:w="115"/>
            </w:tcMar>
            <w:vAlign w:val="top"/>
          </w:tcPr>
          <w:p>
            <w:pPr>
              <w:spacing w:after="45"/>
            </w:pPr>
            <w:r>
              <w:rPr>
                <w:rFonts w:ascii="Poppins" w:cs="Poppins" w:eastAsia="Poppins" w:hAnsi="Poppins"/>
                <w:b/>
                <w:bCs/>
                <w:color w:val="700000"/>
                <w:sz w:val="14"/>
                <w:szCs w:val="14"/>
              </w:rPr>
              <w:t xml:space="preserve">REMIS PAR LE TITULAIRE</w:t>
            </w:r>
          </w:p>
          <w:p>
            <w:r>
              <w:rPr>
                <w:rFonts w:ascii="Poppins" w:cs="Poppins" w:eastAsia="Poppins" w:hAnsi="Poppins"/>
                <w:i/>
                <w:iCs/>
                <w:color w:val="656565"/>
                <w:sz w:val="13"/>
                <w:szCs w:val="13"/>
              </w:rPr>
              <w:t xml:space="preserve">Nom, date et signature :</w:t>
            </w:r>
          </w:p>
        </w:tc>
        <w:tc>
          <w:tcPr>
            <w:tcW w:type="dxa" w:w="0"/>
            <w:tcBorders>
              <w:top w:val="single" w:color="D8D0BC" w:sz="4"/>
              <w:left w:val="single" w:color="D8D0BC" w:sz="4"/>
              <w:bottom w:val="single" w:color="D8D0BC" w:sz="4"/>
              <w:right w:val="single" w:color="D8D0BC" w:sz="4"/>
            </w:tcBorders>
            <w:tcMar>
              <w:top w:type="dxa" w:w="85"/>
              <w:left w:type="dxa" w:w="115"/>
              <w:bottom w:type="dxa" w:w="85"/>
              <w:right w:type="dxa" w:w="115"/>
            </w:tcMar>
            <w:vAlign w:val="top"/>
          </w:tcPr>
          <w:p>
            <w:pPr>
              <w:spacing w:after="45"/>
            </w:pPr>
            <w:r>
              <w:rPr>
                <w:rFonts w:ascii="Poppins" w:cs="Poppins" w:eastAsia="Poppins" w:hAnsi="Poppins"/>
                <w:b/>
                <w:bCs/>
                <w:color w:val="700000"/>
                <w:sz w:val="14"/>
                <w:szCs w:val="14"/>
              </w:rPr>
              <w:t xml:space="preserve">REÇU PAR LE MAÎTRE D'ŒUVRE</w:t>
            </w:r>
          </w:p>
          <w:p>
            <w:r>
              <w:rPr>
                <w:rFonts w:ascii="Poppins" w:cs="Poppins" w:eastAsia="Poppins" w:hAnsi="Poppins"/>
                <w:i/>
                <w:iCs/>
                <w:color w:val="656565"/>
                <w:sz w:val="13"/>
                <w:szCs w:val="13"/>
              </w:rPr>
              <w:t xml:space="preserve">Nom, date, signature — réserves éventuelles ci-dessus :</w:t>
            </w:r>
          </w:p>
        </w:tc>
      </w:tr>
    </w:tbl>
    <w:p>
      <w:pPr>
        <w:sectPr>
          <w:footerReference w:type="default" r:id="rId7"/>
          <w:pgSz w:w="11906" w:h="16838" w:orient="portrait"/>
          <w:pgMar w:top="623" w:right="793" w:bottom="737" w:left="793" w:header="708" w:footer="708" w:gutter="0"/>
          <w:pgNumType/>
          <w:docGrid w:linePitch="360"/>
        </w:sectPr>
      </w:pPr>
    </w:p>
    <w:p>
      <w:pPr>
        <w:spacing w:after="60"/>
      </w:pPr>
      <w:r>
        <w:rPr>
          <w:rFonts w:ascii="Poppins" w:cs="Poppins" w:eastAsia="Poppins" w:hAnsi="Poppins"/>
          <w:b/>
          <w:bCs/>
          <w:color w:val="E78B27"/>
          <w:sz w:val="18"/>
          <w:szCs w:val="18"/>
        </w:rPr>
        <w:t xml:space="preserve">⚠ Page à conserver pour vous</w:t>
      </w:r>
    </w:p>
    <w:p>
      <w:pPr>
        <w:spacing w:after="185"/>
      </w:pPr>
      <w:r>
        <w:rPr>
          <w:rFonts w:ascii="Playfair Display" w:cs="Playfair Display" w:eastAsia="Playfair Display" w:hAnsi="Playfair Display"/>
          <w:b/>
          <w:bCs/>
          <w:color w:val="700000"/>
          <w:sz w:val="34"/>
          <w:szCs w:val="34"/>
        </w:rPr>
        <w:t xml:space="preserve">Le DOE — les 5 réflexes</w:t>
      </w:r>
    </w:p>
    <w:p>
      <w:pPr>
        <w:pStyle w:val="ListParagraph"/>
        <w:numPr>
          <w:ilvl w:val="0"/>
          <w:numId w:val="2"/>
        </w:numPr>
        <w:spacing w:after="120" w:line="265"/>
      </w:pPr>
      <w:r>
        <w:rPr>
          <w:rFonts w:ascii="Poppins" w:cs="Poppins" w:eastAsia="Poppins" w:hAnsi="Poppins"/>
          <w:b/>
          <w:bCs/>
          <w:color w:val="211C14"/>
          <w:sz w:val="19"/>
          <w:szCs w:val="19"/>
        </w:rPr>
        <w:t xml:space="preserve">Le DOE se prépare AU FIL du chantier — </w:t>
      </w:r>
      <w:r>
        <w:rPr>
          <w:rFonts w:ascii="Poppins" w:cs="Poppins" w:eastAsia="Poppins" w:hAnsi="Poppins"/>
          <w:color w:val="211C14"/>
          <w:sz w:val="19"/>
          <w:szCs w:val="19"/>
        </w:rPr>
        <w:t xml:space="preserve">chaque fiche technique classée à la pose, chaque PV d'essai rangé le jour même — un DOE assemblé la dernière semaine produit toujours des manques, même quand les travaux sont parfaits.</w:t>
      </w:r>
    </w:p>
    <w:p>
      <w:pPr>
        <w:pStyle w:val="ListParagraph"/>
        <w:numPr>
          <w:ilvl w:val="0"/>
          <w:numId w:val="2"/>
        </w:numPr>
        <w:spacing w:after="120" w:line="265"/>
      </w:pPr>
      <w:r>
        <w:rPr>
          <w:rFonts w:ascii="Poppins" w:cs="Poppins" w:eastAsia="Poppins" w:hAnsi="Poppins"/>
          <w:b/>
          <w:bCs/>
          <w:color w:val="211C14"/>
          <w:sz w:val="19"/>
          <w:szCs w:val="19"/>
        </w:rPr>
        <w:t xml:space="preserve">2021 : tout à la demande de réception — </w:t>
      </w:r>
      <w:r>
        <w:rPr>
          <w:rFonts w:ascii="Poppins" w:cs="Poppins" w:eastAsia="Poppins" w:hAnsi="Poppins"/>
          <w:color w:val="211C14"/>
          <w:sz w:val="19"/>
          <w:szCs w:val="19"/>
        </w:rPr>
        <w:t xml:space="preserve">plus de délai d'un mois — un DOE incomplet retarde la réception, donc le solde, la retenue de garantie ET le DGD. C'est le document qui débloque votre argent.</w:t>
      </w:r>
    </w:p>
    <w:p>
      <w:pPr>
        <w:pStyle w:val="ListParagraph"/>
        <w:numPr>
          <w:ilvl w:val="0"/>
          <w:numId w:val="2"/>
        </w:numPr>
        <w:spacing w:after="120" w:line="265"/>
      </w:pPr>
      <w:r>
        <w:rPr>
          <w:rFonts w:ascii="Poppins" w:cs="Poppins" w:eastAsia="Poppins" w:hAnsi="Poppins"/>
          <w:b/>
          <w:bCs/>
          <w:color w:val="211C14"/>
          <w:sz w:val="19"/>
          <w:szCs w:val="19"/>
        </w:rPr>
        <w:t xml:space="preserve">Les deux exigences que tout le monde oublie — </w:t>
      </w:r>
      <w:r>
        <w:rPr>
          <w:rFonts w:ascii="Poppins" w:cs="Poppins" w:eastAsia="Poppins" w:hAnsi="Poppins"/>
          <w:color w:val="211C14"/>
          <w:sz w:val="19"/>
          <w:szCs w:val="19"/>
        </w:rPr>
        <w:t xml:space="preserve">les CONSTATS D'ÉVACUATION DES DÉCHETS (exigence expresse du 2021) et les CONDITIONS DE GARANTIE des fabricants — deux chapitres du sommaire, pas des options.</w:t>
      </w:r>
    </w:p>
    <w:p>
      <w:pPr>
        <w:pStyle w:val="ListParagraph"/>
        <w:numPr>
          <w:ilvl w:val="0"/>
          <w:numId w:val="2"/>
        </w:numPr>
        <w:spacing w:after="120" w:line="265"/>
      </w:pPr>
      <w:r>
        <w:rPr>
          <w:rFonts w:ascii="Poppins" w:cs="Poppins" w:eastAsia="Poppins" w:hAnsi="Poppins"/>
          <w:b/>
          <w:bCs/>
          <w:color w:val="211C14"/>
          <w:sz w:val="19"/>
          <w:szCs w:val="19"/>
        </w:rPr>
        <w:t xml:space="preserve">DOE ≠ DIUO — </w:t>
      </w:r>
      <w:r>
        <w:rPr>
          <w:rFonts w:ascii="Poppins" w:cs="Poppins" w:eastAsia="Poppins" w:hAnsi="Poppins"/>
          <w:color w:val="211C14"/>
          <w:sz w:val="19"/>
          <w:szCs w:val="19"/>
        </w:rPr>
        <w:t xml:space="preserve">le DOE est votre dossier TECHNIQUE ; le DIUO est le dossier de SÉCURITÉ du coordonnateur SPS (R.4532-95 s.) — vous ne fournissez que les éléments, validés par le MOE, avec un exemplaire au CSPS.</w:t>
      </w:r>
    </w:p>
    <w:p>
      <w:pPr>
        <w:pStyle w:val="ListParagraph"/>
        <w:numPr>
          <w:ilvl w:val="0"/>
          <w:numId w:val="2"/>
        </w:numPr>
        <w:spacing w:after="120" w:line="265"/>
      </w:pPr>
      <w:r>
        <w:rPr>
          <w:rFonts w:ascii="Poppins" w:cs="Poppins" w:eastAsia="Poppins" w:hAnsi="Poppins"/>
          <w:b/>
          <w:bCs/>
          <w:color w:val="211C14"/>
          <w:sz w:val="19"/>
          <w:szCs w:val="19"/>
        </w:rPr>
        <w:t xml:space="preserve">Le bordereau contradictoire est votre preuve — </w:t>
      </w:r>
      <w:r>
        <w:rPr>
          <w:rFonts w:ascii="Poppins" w:cs="Poppins" w:eastAsia="Poppins" w:hAnsi="Poppins"/>
          <w:color w:val="211C14"/>
          <w:sz w:val="19"/>
          <w:szCs w:val="19"/>
        </w:rPr>
        <w:t xml:space="preserve">pièce par pièce, signé des deux — le jour où l'acheteur prétend n'avoir « jamais rien reçu », c'est lui qui parle.</w:t>
      </w:r>
    </w:p>
    <w:p>
      <w:pPr>
        <w:spacing w:after="0" w:before="145"/>
      </w:pPr>
      <w:r>
        <w:rPr>
          <w:rFonts w:ascii="Playfair Display" w:cs="Playfair Display" w:eastAsia="Playfair Display" w:hAnsi="Playfair Display"/>
          <w:i/>
          <w:iCs/>
          <w:color w:val="700000"/>
          <w:sz w:val="24"/>
          <w:szCs w:val="24"/>
        </w:rPr>
        <w:t xml:space="preserve">Généré à la main aujourd'hui. Généré automatiquement demain ?</w:t>
      </w:r>
    </w:p>
    <w:p>
      <w:pPr>
        <w:spacing w:after="110" w:before="55"/>
      </w:pPr>
      <w:r>
        <w:rPr>
          <w:rFonts w:ascii="Poppins" w:cs="Poppins" w:eastAsia="Poppins" w:hAnsi="Poppins"/>
          <w:color w:val="656565"/>
          <w:sz w:val="19"/>
          <w:szCs w:val="19"/>
        </w:rPr>
        <w:t xml:space="preserve">WHY Manager classe fiches techniques, PV et bordereaux par affaire au fil du chantier — à la réception, le DOE s'assemble au lieu de se reconstituer — why.eu</w:t>
      </w:r>
    </w:p>
    <w:p>
      <w:r>
        <w:rPr>
          <w:rFonts w:ascii="Poppins" w:cs="Poppins" w:eastAsia="Poppins" w:hAnsi="Poppins"/>
          <w:i/>
          <w:iCs/>
          <w:color w:val="656565"/>
          <w:sz w:val="14"/>
          <w:szCs w:val="14"/>
        </w:rPr>
        <w:t xml:space="preserve">Trame indicative vérifiée au 22/08/2026 (CCAG-Travaux 2021, arrêté du 30/03/2021, art. 40 — Légifrance · CCAG 2009, art. 40 pour les marchés anciens · NF P 03-001 · C. trav., R.4532-95 s. pour le DIUO). Ne constitue pas un conseil juridique.</w:t>
      </w:r>
    </w:p>
    <w:sectPr>
      <w:headerReference w:type="default" r:id="rId8"/>
      <w:footerReference w:type="default" r:id="rId9"/>
      <w:pgSz w:w="11906" w:h="16838" w:orient="portrait"/>
      <w:pgMar w:top="623" w:right="793" w:bottom="737" w:left="79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489AC" w:sz="4"/>
      </w:pBdr>
      <w:tabs>
        <w:tab w:val="right" w:pos="9026"/>
      </w:tabs>
      <w:spacing w:before="60"/>
    </w:pPr>
    <w:r>
      <w:rPr>
        <w:rFonts w:ascii="Poppins" w:cs="Poppins" w:eastAsia="Poppins" w:hAnsi="Poppins"/>
        <w:color w:val="656565"/>
        <w:sz w:val="13"/>
        <w:szCs w:val="13"/>
      </w:rPr>
      <w:t xml:space="preserve">Trame DOE WhySoft Group v1.0 — vérifié au 22/08/2026 (CCAG 2021, art. 40)</w:t>
    </w:r>
    <w:r>
      <w:rPr>
        <w:rFonts w:ascii="Poppins" w:cs="Poppins" w:eastAsia="Poppins" w:hAnsi="Poppins"/>
        <w:i/>
        <w:iCs/>
        <w:color w:val="656565"/>
        <w:sz w:val="13"/>
        <w:szCs w:val="13"/>
      </w:rPr>
      <w:t xml:space="preserve">	Supprimez ce pied de page avant remise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489AC" w:sz="4"/>
      </w:pBdr>
      <w:tabs>
        <w:tab w:val="right" w:pos="9026"/>
      </w:tabs>
      <w:spacing w:before="60"/>
    </w:pPr>
    <w:r>
      <w:rPr>
        <w:rFonts w:ascii="Poppins" w:cs="Poppins" w:eastAsia="Poppins" w:hAnsi="Poppins"/>
        <w:color w:val="656565"/>
        <w:sz w:val="13"/>
        <w:szCs w:val="13"/>
      </w:rPr>
      <w:t xml:space="preserve">WhySoft Group — Landas (59) · why.eu · 03 20 54 89 42</w:t>
    </w:r>
    <w:r>
      <w:rPr>
        <w:rFonts w:ascii="Poppins" w:cs="Poppins" w:eastAsia="Poppins" w:hAnsi="Poppins"/>
        <w:color w:val="656565"/>
        <w:sz w:val="13"/>
        <w:szCs w:val="13"/>
      </w:rPr>
      <w:t xml:space="preserve">	Banque de modèles WHY — v1.0 · 22/08/2026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700000" w:sz="6"/>
      </w:pBdr>
      <w:spacing w:after="120"/>
    </w:pPr>
    <w:r>
      <w:drawing>
        <wp:inline distT="0" distB="0" distL="0" distR="0">
          <wp:extent cx="14287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428750" cy="4000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220"/>
      </w:pPr>
      <w:rPr>
        <w:b/>
        <w:bCs/>
        <w:color w:val="E78B2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color w:val="211C14"/>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header" Target="header1.xml"/><Relationship Id="rId9" Type="http://schemas.openxmlformats.org/officeDocument/2006/relationships/footer" Target="footer2.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015d06bf44005594fb3a51d03f567c35ff93e7da.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2026-08-22T05:50:09.576Z</dcterms:created>
  <dcterms:modified xsi:type="dcterms:W3CDTF">2026-08-22T05:50:09.589Z</dcterms:modified>
</cp:coreProperties>
</file>

<file path=docProps/custom.xml><?xml version="1.0" encoding="utf-8"?>
<Properties xmlns="http://schemas.openxmlformats.org/officeDocument/2006/custom-properties" xmlns:vt="http://schemas.openxmlformats.org/officeDocument/2006/docPropsVTypes"/>
</file>