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FDA649" w:sz="24"/>
        </w:pBdr>
        <w:shd w:fill="F5F0DD" w:val="clear"/>
        <w:spacing w:after="240"/>
      </w:pPr>
      <w:r>
        <w:rPr>
          <w:rFonts w:ascii="Poppins" w:cs="Poppins" w:eastAsia="Poppins" w:hAnsi="Poppins"/>
          <w:b/>
          <w:bCs/>
          <w:color w:val="700000"/>
          <w:sz w:val="17"/>
          <w:szCs w:val="17"/>
        </w:rPr>
        <w:t xml:space="preserve">  Document 1 · Lettre de demande de constat de levée  —  </w:t>
      </w:r>
      <w:r>
        <w:rPr>
          <w:rFonts w:ascii="Poppins" w:cs="Poppins" w:eastAsia="Poppins" w:hAnsi="Poppins"/>
          <w:color w:val="656565"/>
          <w:sz w:val="17"/>
          <w:szCs w:val="17"/>
        </w:rPr>
        <w:t xml:space="preserve">À adresser dès les reprises exécutées · LRAR recommandée · Bloc à supprimer avant usage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900"/>
        <w:gridCol w:w="3600"/>
      </w:tblGrid>
      <w:tr>
        <w:tc>
          <w:tcPr>
            <w:tcW w:type="dxa" w:w="3400"/>
            <w:tcBorders>
              <w:top w:val="dashed" w:color="D8D0BC" w:sz="8"/>
              <w:left w:val="dashed" w:color="D8D0BC" w:sz="8"/>
              <w:bottom w:val="dashed" w:color="D8D0BC" w:sz="8"/>
              <w:right w:val="dashed" w:color="D8D0BC" w:sz="8"/>
            </w:tcBorders>
            <w:tcMar>
              <w:top w:type="dxa" w:w="170"/>
              <w:left w:type="dxa" w:w="120"/>
              <w:bottom w:type="dxa" w:w="170"/>
              <w:right w:type="dxa" w:w="12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9A9284"/>
                <w:sz w:val="22"/>
                <w:szCs w:val="22"/>
              </w:rPr>
              <w:t xml:space="preserve">[ VOTRE LOGO ]</w:t>
            </w:r>
          </w:p>
          <w:p>
            <w:pPr>
              <w:jc w:val="center"/>
            </w:pPr>
            <w:r>
              <w:rPr>
                <w:rFonts w:ascii="Poppins" w:cs="Poppins" w:eastAsia="Poppins" w:hAnsi="Poppins"/>
                <w:i/>
                <w:iCs/>
                <w:color w:val="9A9284"/>
                <w:sz w:val="12"/>
                <w:szCs w:val="12"/>
              </w:rPr>
              <w:t xml:space="preserve">remplacez ce cadre par votre en-tête</w:t>
            </w:r>
          </w:p>
        </w:tc>
        <w:tc>
          <w:tcPr>
            <w:tcW w:type="dxa" w:w="29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/>
              <w:jc w:val="right"/>
            </w:pPr>
            <w:r>
              <w:rPr>
                <w:rFonts w:ascii="Poppins" w:cs="Poppins" w:eastAsia="Poppins" w:hAnsi="Poppins"/>
                <w:b/>
                <w:bCs/>
                <w:color w:val="656565"/>
                <w:sz w:val="15"/>
                <w:szCs w:val="15"/>
              </w:rPr>
              <w:t xml:space="preserve">Chantier 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7"/>
                <w:szCs w:val="17"/>
              </w:rPr>
              <w:t xml:space="preserve">[réf.]</w:t>
            </w:r>
          </w:p>
          <w:p>
            <w:pPr>
              <w:spacing w:after="40"/>
              <w:jc w:val="right"/>
            </w:pPr>
            <w:r>
              <w:rPr>
                <w:rFonts w:ascii="Poppins" w:cs="Poppins" w:eastAsia="Poppins" w:hAnsi="Poppins"/>
                <w:b/>
                <w:bCs/>
                <w:color w:val="656565"/>
                <w:sz w:val="15"/>
                <w:szCs w:val="15"/>
              </w:rPr>
              <w:t xml:space="preserve">LRAR n° 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7"/>
                <w:szCs w:val="17"/>
              </w:rPr>
              <w:t xml:space="preserve">[…]</w:t>
            </w:r>
          </w:p>
          <w:p>
            <w:pPr>
              <w:spacing w:after="40"/>
              <w:jc w:val="right"/>
            </w:pPr>
            <w:r>
              <w:rPr>
                <w:rFonts w:ascii="Poppins" w:cs="Poppins" w:eastAsia="Poppins" w:hAnsi="Poppins"/>
                <w:b/>
                <w:bCs/>
                <w:color w:val="656565"/>
                <w:sz w:val="15"/>
                <w:szCs w:val="15"/>
              </w:rPr>
              <w:t xml:space="preserve">Le 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7"/>
                <w:szCs w:val="17"/>
              </w:rPr>
              <w:t xml:space="preserve">[date]</w:t>
            </w:r>
          </w:p>
        </w:tc>
      </w:tr>
    </w:tbl>
    <w:p>
      <w:pPr>
        <w:spacing w:after="160"/>
      </w:pPr>
    </w:p>
    <w:p>
      <w:pPr>
        <w:spacing w:after="60"/>
        <w:jc w:val="right"/>
      </w:pP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[MAÎTRE DE L'OUVRAGE]</w:t>
      </w:r>
    </w:p>
    <w:p>
      <w:pPr>
        <w:spacing w:after="260"/>
        <w:jc w:val="right"/>
      </w:pP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[adresse]</w:t>
      </w:r>
    </w:p>
    <w:p>
      <w:pPr>
        <w:spacing w:after="260"/>
        <w:jc w:val="both"/>
      </w:pP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Objet : demande de constat de levée des réserves — chantier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[réf.]</w:t>
      </w:r>
    </w:p>
    <w:p>
      <w:pPr>
        <w:spacing w:after="135" w:line="285"/>
        <w:jc w:val="both"/>
      </w:pPr>
      <w:r>
        <w:rPr>
          <w:rFonts w:ascii="Poppins" w:cs="Poppins" w:eastAsia="Poppins" w:hAnsi="Poppins"/>
          <w:color w:val="211C14"/>
          <w:sz w:val="20"/>
          <w:szCs w:val="20"/>
        </w:rPr>
        <w:t xml:space="preserve">Madame, Monsieur,</w:t>
      </w:r>
    </w:p>
    <w:p>
      <w:pPr>
        <w:spacing w:after="135" w:line="285"/>
        <w:jc w:val="both"/>
      </w:pPr>
      <w:r>
        <w:rPr>
          <w:rFonts w:ascii="Poppins" w:cs="Poppins" w:eastAsia="Poppins" w:hAnsi="Poppins"/>
          <w:color w:val="211C14"/>
          <w:sz w:val="20"/>
          <w:szCs w:val="20"/>
        </w:rPr>
        <w:t xml:space="preserve">À la suite de la réception prononcée le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[date]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avec réserves, nous vous informons que l'intégralité des travaux de reprise a été exécutée le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[date d'achèvement des reprises]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 conformément aux délais convenus au procès-verbal.</w:t>
      </w:r>
    </w:p>
    <w:p>
      <w:pPr>
        <w:spacing w:after="135" w:line="285"/>
        <w:jc w:val="both"/>
      </w:pPr>
      <w:r>
        <w:rPr>
          <w:rFonts w:ascii="Poppins" w:cs="Poppins" w:eastAsia="Poppins" w:hAnsi="Poppins"/>
          <w:color w:val="211C14"/>
          <w:sz w:val="20"/>
          <w:szCs w:val="20"/>
        </w:rPr>
        <w:t xml:space="preserve">En application de l'article 1792-6, alinéa 5, du Code civil, l'exécution de ces travaux est constatée d'un commun accord. Nous vous proposons en conséquence une visite contradictoire de constat le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[date — sous 8 jours]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à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[heure]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 à l'issue de laquelle nous vous remercions de signer le procès-verbal de levée des réserves ci-joint.</w:t>
      </w:r>
    </w:p>
    <w:p>
      <w:pPr>
        <w:spacing w:after="135" w:line="285"/>
        <w:jc w:val="both"/>
      </w:pPr>
      <w:r>
        <w:rPr>
          <w:rFonts w:ascii="Poppins" w:cs="Poppins" w:eastAsia="Poppins" w:hAnsi="Poppins"/>
          <w:color w:val="211C14"/>
          <w:sz w:val="20"/>
          <w:szCs w:val="20"/>
        </w:rPr>
        <w:t xml:space="preserve">Nous vous rappelons que la levée des réserves conditionne la libération de la retenue de garantie et l'établissement du décompte final. À défaut de réponse sous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[8]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jours, nous vous mettrons en demeure d'y procéder, le constat pouvant, à défaut, être établi judiciairement.</w:t>
      </w:r>
    </w:p>
    <w:p>
      <w:pPr>
        <w:spacing w:after="320"/>
        <w:jc w:val="both"/>
      </w:pPr>
      <w:r>
        <w:rPr>
          <w:rFonts w:ascii="Poppins" w:cs="Poppins" w:eastAsia="Poppins" w:hAnsi="Poppins"/>
          <w:color w:val="211C14"/>
          <w:sz w:val="20"/>
          <w:szCs w:val="20"/>
        </w:rPr>
        <w:t xml:space="preserve">Nous vous prions d'agréer, Madame, Monsieur, l'expression de nos salutations distinguées.</w:t>
      </w:r>
    </w:p>
    <w:p>
      <w:pPr>
        <w:jc w:val="right"/>
      </w:pP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[Nom — qualité — signature]</w:t>
      </w:r>
    </w:p>
    <w:p>
      <w:pPr>
        <w:sectPr>
          <w:footerReference w:type="default" r:id="rId7"/>
          <w:pgSz w:w="11906" w:h="16838" w:orient="portrait"/>
          <w:pgMar w:top="680" w:right="850" w:bottom="793" w:left="850" w:header="708" w:footer="708" w:gutter="0"/>
          <w:pgNumType/>
          <w:docGrid w:linePitch="360"/>
        </w:sectPr>
      </w:pPr>
    </w:p>
    <w:p>
      <w:pPr>
        <w:pBdr>
          <w:left w:val="single" w:color="FDA649" w:sz="24"/>
        </w:pBdr>
        <w:shd w:fill="F5F0DD" w:val="clear"/>
        <w:spacing w:after="240"/>
      </w:pPr>
      <w:r>
        <w:rPr>
          <w:rFonts w:ascii="Poppins" w:cs="Poppins" w:eastAsia="Poppins" w:hAnsi="Poppins"/>
          <w:b/>
          <w:bCs/>
          <w:color w:val="700000"/>
          <w:sz w:val="17"/>
          <w:szCs w:val="17"/>
        </w:rPr>
        <w:t xml:space="preserve">  Document 2 · Procès-verbal de levée des réserves  —  </w:t>
      </w:r>
      <w:r>
        <w:rPr>
          <w:rFonts w:ascii="Poppins" w:cs="Poppins" w:eastAsia="Poppins" w:hAnsi="Poppins"/>
          <w:color w:val="656565"/>
          <w:sz w:val="17"/>
          <w:szCs w:val="17"/>
        </w:rPr>
        <w:t xml:space="preserve">À signer lors de la visite de constat · Bloc à supprimer avant usage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900"/>
        <w:gridCol w:w="3600"/>
      </w:tblGrid>
      <w:tr>
        <w:tc>
          <w:tcPr>
            <w:tcW w:type="dxa" w:w="3400"/>
            <w:tcBorders>
              <w:top w:val="dashed" w:color="D8D0BC" w:sz="8"/>
              <w:left w:val="dashed" w:color="D8D0BC" w:sz="8"/>
              <w:bottom w:val="dashed" w:color="D8D0BC" w:sz="8"/>
              <w:right w:val="dashed" w:color="D8D0BC" w:sz="8"/>
            </w:tcBorders>
            <w:tcMar>
              <w:top w:type="dxa" w:w="170"/>
              <w:left w:type="dxa" w:w="120"/>
              <w:bottom w:type="dxa" w:w="170"/>
              <w:right w:type="dxa" w:w="12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9A9284"/>
                <w:sz w:val="22"/>
                <w:szCs w:val="22"/>
              </w:rPr>
              <w:t xml:space="preserve">[ VOTRE LOGO ]</w:t>
            </w:r>
          </w:p>
          <w:p>
            <w:pPr>
              <w:jc w:val="center"/>
            </w:pPr>
            <w:r>
              <w:rPr>
                <w:rFonts w:ascii="Poppins" w:cs="Poppins" w:eastAsia="Poppins" w:hAnsi="Poppins"/>
                <w:i/>
                <w:iCs/>
                <w:color w:val="9A9284"/>
                <w:sz w:val="12"/>
                <w:szCs w:val="12"/>
              </w:rPr>
              <w:t xml:space="preserve">remplacez ce cadre par votre en-tête</w:t>
            </w:r>
          </w:p>
        </w:tc>
        <w:tc>
          <w:tcPr>
            <w:tcW w:type="dxa" w:w="29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/>
              <w:jc w:val="right"/>
            </w:pPr>
            <w:r>
              <w:rPr>
                <w:rFonts w:ascii="Poppins" w:cs="Poppins" w:eastAsia="Poppins" w:hAnsi="Poppins"/>
                <w:b/>
                <w:bCs/>
                <w:color w:val="656565"/>
                <w:sz w:val="15"/>
                <w:szCs w:val="15"/>
              </w:rPr>
              <w:t xml:space="preserve">PV de réception du 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7"/>
                <w:szCs w:val="17"/>
              </w:rPr>
              <w:t xml:space="preserve">[date]</w:t>
            </w:r>
          </w:p>
          <w:p>
            <w:pPr>
              <w:spacing w:after="40"/>
              <w:jc w:val="right"/>
            </w:pPr>
            <w:r>
              <w:rPr>
                <w:rFonts w:ascii="Poppins" w:cs="Poppins" w:eastAsia="Poppins" w:hAnsi="Poppins"/>
                <w:b/>
                <w:bCs/>
                <w:color w:val="656565"/>
                <w:sz w:val="15"/>
                <w:szCs w:val="15"/>
              </w:rPr>
              <w:t xml:space="preserve">Constat du 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7"/>
                <w:szCs w:val="17"/>
              </w:rPr>
              <w:t xml:space="preserve">[date]</w:t>
            </w:r>
          </w:p>
          <w:p>
            <w:pPr>
              <w:spacing w:after="40"/>
              <w:jc w:val="right"/>
            </w:pPr>
            <w:r>
              <w:rPr>
                <w:rFonts w:ascii="Poppins" w:cs="Poppins" w:eastAsia="Poppins" w:hAnsi="Poppins"/>
                <w:b/>
                <w:bCs/>
                <w:color w:val="656565"/>
                <w:sz w:val="15"/>
                <w:szCs w:val="15"/>
              </w:rPr>
              <w:t xml:space="preserve">Exemplaires 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7"/>
                <w:szCs w:val="17"/>
              </w:rPr>
              <w:t xml:space="preserve">[3]</w:t>
            </w:r>
          </w:p>
        </w:tc>
      </w:tr>
    </w:tbl>
    <w:p>
      <w:pPr>
        <w:spacing w:after="110"/>
      </w:pP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2500"/>
      </w:tblGrid>
      <w:tr>
        <w:tc>
          <w:tcPr>
            <w:tcW w:type="dxa" w:w="74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Playfair Display" w:cs="Playfair Display" w:eastAsia="Playfair Display" w:hAnsi="Playfair Display"/>
                <w:b/>
                <w:bCs/>
                <w:color w:val="700000"/>
                <w:sz w:val="34"/>
                <w:szCs w:val="34"/>
              </w:rPr>
              <w:t xml:space="preserve">PROCÈS-VERBAL DE LEVÉE DES RÉSERVES</w:t>
            </w:r>
          </w:p>
        </w:tc>
        <w:tc>
          <w:tcPr>
            <w:tcW w:type="dxa" w:w="2500"/>
            <w:tcBorders>
              <w:top w:val="none"/>
              <w:left w:val="none"/>
              <w:bottom w:val="none"/>
              <w:right w:val="none"/>
            </w:tcBorders>
            <w:shd w:fill="FED2A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Poppins" w:cs="Poppins" w:eastAsia="Poppins" w:hAnsi="Poppins"/>
                <w:color w:val="211C14"/>
                <w:sz w:val="8"/>
                <w:szCs w:val="8"/>
              </w:rPr>
              <w:t xml:space="preserve"> </w:t>
            </w:r>
          </w:p>
        </w:tc>
      </w:tr>
    </w:tbl>
    <w:p>
      <w:pPr>
        <w:spacing w:after="170" w:before="55"/>
      </w:pPr>
      <w:r>
        <w:rPr>
          <w:rFonts w:ascii="Poppins" w:cs="Poppins" w:eastAsia="Poppins" w:hAnsi="Poppins"/>
          <w:i/>
          <w:iCs/>
          <w:color w:val="656565"/>
          <w:sz w:val="15"/>
          <w:szCs w:val="15"/>
        </w:rPr>
        <w:t xml:space="preserve">Constat contradictoire d'exécution des reprises — art. 1792-6, al. 5, du Code civil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300"/>
        <w:gridCol w:w="4800"/>
      </w:tblGrid>
      <w:tr>
        <w:tc>
          <w:tcPr>
            <w:tcW w:type="dxa" w:w="4800"/>
            <w:tcBorders>
              <w:top w:val="single" w:color="D8D0BC" w:sz="4"/>
              <w:left w:val="single" w:color="1489AC" w:sz="22"/>
              <w:bottom w:val="single" w:color="D8D0BC" w:sz="4"/>
              <w:right w:val="single" w:color="D8D0BC" w:sz="4"/>
            </w:tcBorders>
            <w:shd w:fill="FAF6E8" w:val="clear"/>
            <w:tcMar>
              <w:top w:type="dxa" w:w="90"/>
              <w:left w:type="dxa" w:w="150"/>
              <w:bottom w:type="dxa" w:w="90"/>
              <w:right w:type="dxa" w:w="130"/>
            </w:tcMar>
            <w:vAlign w:val="top"/>
          </w:tcPr>
          <w:p>
            <w:pPr>
              <w:spacing w:after="70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5"/>
                <w:szCs w:val="15"/>
              </w:rPr>
              <w:t xml:space="preserve">LE MAÎTRE DE L'OUVRAGE</w:t>
            </w:r>
          </w:p>
          <w:p>
            <w:pPr>
              <w:spacing w:after="55" w:line="265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20"/>
                <w:szCs w:val="20"/>
              </w:rPr>
              <w:t xml:space="preserve">[Nom / raison sociale]</w:t>
            </w:r>
          </w:p>
          <w:p>
            <w:pPr>
              <w:spacing w:after="55" w:line="265"/>
            </w:pPr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Adresse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20"/>
                <w:szCs w:val="20"/>
              </w:rPr>
              <w:t xml:space="preserve">[…]</w:t>
            </w:r>
          </w:p>
          <w:p>
            <w:pPr>
              <w:spacing w:after="55" w:line="265"/>
            </w:pPr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Représenté par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20"/>
                <w:szCs w:val="20"/>
              </w:rPr>
              <w:t xml:space="preserve">[…]</w:t>
            </w:r>
          </w:p>
        </w:tc>
        <w:tc>
          <w:tcPr>
            <w:tcW w:type="dxa" w:w="3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4800"/>
            <w:tcBorders>
              <w:top w:val="single" w:color="D8D0BC" w:sz="4"/>
              <w:left w:val="single" w:color="FDA649" w:sz="22"/>
              <w:bottom w:val="single" w:color="D8D0BC" w:sz="4"/>
              <w:right w:val="single" w:color="D8D0BC" w:sz="4"/>
            </w:tcBorders>
            <w:shd w:fill="FAF6E8" w:val="clear"/>
            <w:tcMar>
              <w:top w:type="dxa" w:w="90"/>
              <w:left w:type="dxa" w:w="150"/>
              <w:bottom w:type="dxa" w:w="90"/>
              <w:right w:type="dxa" w:w="130"/>
            </w:tcMar>
            <w:vAlign w:val="top"/>
          </w:tcPr>
          <w:p>
            <w:pPr>
              <w:spacing w:after="70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5"/>
                <w:szCs w:val="15"/>
              </w:rPr>
              <w:t xml:space="preserve">L'ENTREPRISE</w:t>
            </w:r>
          </w:p>
          <w:p>
            <w:pPr>
              <w:spacing w:after="55" w:line="265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20"/>
                <w:szCs w:val="20"/>
              </w:rPr>
              <w:t xml:space="preserve">[Raison sociale — SIRET]</w:t>
            </w:r>
          </w:p>
          <w:p>
            <w:pPr>
              <w:spacing w:after="55" w:line="265"/>
            </w:pPr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Adresse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20"/>
                <w:szCs w:val="20"/>
              </w:rPr>
              <w:t xml:space="preserve">[…]</w:t>
            </w:r>
          </w:p>
          <w:p>
            <w:pPr>
              <w:spacing w:after="55" w:line="265"/>
            </w:pPr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Représentée par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20"/>
                <w:szCs w:val="20"/>
              </w:rPr>
              <w:t xml:space="preserve">[…]</w:t>
            </w:r>
          </w:p>
        </w:tc>
      </w:tr>
    </w:tbl>
    <w:p>
      <w:pPr>
        <w:spacing w:after="95"/>
      </w:pP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00"/>
      </w:tblGrid>
      <w:tr>
        <w:tc>
          <w:tcPr>
            <w:tcW w:type="dxa" w:w="9900"/>
            <w:tcBorders>
              <w:top w:val="single" w:color="D8D0BC" w:sz="4"/>
              <w:left w:val="single" w:color="700000" w:sz="22"/>
              <w:bottom w:val="single" w:color="D8D0BC" w:sz="4"/>
              <w:right w:val="single" w:color="D8D0BC" w:sz="4"/>
            </w:tcBorders>
            <w:shd w:fill="F5F0DD" w:val="clear"/>
            <w:tcMar>
              <w:top w:type="dxa" w:w="85"/>
              <w:left w:type="dxa" w:w="150"/>
              <w:bottom w:type="dxa" w:w="85"/>
              <w:right w:type="dxa" w:w="130"/>
            </w:tcMar>
            <w:vAlign w:val="top"/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CHANTIER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[objet — adresse]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    ·    Marché / devis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[réf. + date]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    ·    Lot(s)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[…]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    ·    Maître d'œuvre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[le cas échéant]</w:t>
            </w:r>
          </w:p>
        </w:tc>
      </w:tr>
    </w:tbl>
    <w:p>
      <w:pPr>
        <w:spacing w:after="140"/>
      </w:pPr>
    </w:p>
    <w:p>
      <w:pPr>
        <w:spacing w:after="160"/>
        <w:jc w:val="both"/>
      </w:pPr>
      <w:r>
        <w:rPr>
          <w:rFonts w:ascii="Poppins" w:cs="Poppins" w:eastAsia="Poppins" w:hAnsi="Poppins"/>
          <w:color w:val="211C14"/>
          <w:sz w:val="20"/>
          <w:szCs w:val="20"/>
        </w:rPr>
        <w:t xml:space="preserve">Vu le procès-verbal de réception du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[date]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comportant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[X]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réserves, les parties, après visite contradictoire ce jour, constatent :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500"/>
        <w:gridCol w:w="1500"/>
        <w:gridCol w:w="1600"/>
        <w:gridCol w:w="1600"/>
      </w:tblGrid>
      <w:tr>
        <w:trPr>
          <w:tblHeader/>
        </w:trPr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80"/>
              <w:left w:type="dxa" w:w="70"/>
              <w:bottom w:type="dxa" w:w="8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5"/>
                <w:szCs w:val="15"/>
              </w:rPr>
              <w:t xml:space="preserve">N° (PV)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80"/>
              <w:left w:type="dxa" w:w="70"/>
              <w:bottom w:type="dxa" w:w="8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5"/>
                <w:szCs w:val="15"/>
              </w:rPr>
              <w:t xml:space="preserve">Réserve (report du PV de réception)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80"/>
              <w:left w:type="dxa" w:w="70"/>
              <w:bottom w:type="dxa" w:w="8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5"/>
                <w:szCs w:val="15"/>
              </w:rPr>
              <w:t xml:space="preserve">Reprise exécutée le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80"/>
              <w:left w:type="dxa" w:w="70"/>
              <w:bottom w:type="dxa" w:w="8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5"/>
                <w:szCs w:val="15"/>
              </w:rPr>
              <w:t xml:space="preserve">LEVÉE ☐ oui ☐ non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80"/>
              <w:left w:type="dxa" w:w="70"/>
              <w:bottom w:type="dxa" w:w="8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5"/>
                <w:szCs w:val="15"/>
              </w:rPr>
              <w:t xml:space="preserve">Observations</w:t>
            </w:r>
          </w:p>
        </w:tc>
      </w:tr>
      <w:tr>
        <w:trPr>
          <w:trHeight w:val="38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</w:tr>
      <w:tr>
        <w:trPr>
          <w:trHeight w:val="38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</w:tr>
      <w:tr>
        <w:trPr>
          <w:trHeight w:val="38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</w:tr>
      <w:tr>
        <w:trPr>
          <w:trHeight w:val="38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</w:tr>
      <w:tr>
        <w:trPr>
          <w:trHeight w:val="38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90"/>
              <w:bottom w:type="dxa" w:w="100"/>
              <w:right w:type="dxa" w:w="9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/>
      </w:pPr>
    </w:p>
    <w:p>
      <w:pPr>
        <w:spacing w:after="115" w:before="40" w:line="280"/>
      </w:pPr>
      <w:r>
        <w:rPr>
          <w:rFonts w:ascii="Poppins" w:cs="Poppins" w:eastAsia="Poppins" w:hAnsi="Poppins"/>
          <w:color w:val="700000"/>
          <w:sz w:val="26"/>
          <w:szCs w:val="26"/>
        </w:rPr>
        <w:t xml:space="preserve">☐   </w:t>
      </w: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TOUTES les réserves sont levées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: l'ouvrage est réputé conforme ; la retenue de garantie (ou la caution) a vocation à être libérée à son échéance, et le décompte final peut être établi.</w:t>
      </w:r>
    </w:p>
    <w:p>
      <w:pPr>
        <w:spacing w:after="115" w:before="40" w:line="280"/>
      </w:pPr>
      <w:r>
        <w:rPr>
          <w:rFonts w:ascii="Poppins" w:cs="Poppins" w:eastAsia="Poppins" w:hAnsi="Poppins"/>
          <w:color w:val="700000"/>
          <w:sz w:val="26"/>
          <w:szCs w:val="26"/>
        </w:rPr>
        <w:t xml:space="preserve">☐   </w:t>
      </w: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Réserves partiellement levées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: les réserves n°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[…]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demeurent, avec nouveau délai de reprise au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[date]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.</w:t>
      </w:r>
    </w:p>
    <w:p>
      <w:pPr>
        <w:spacing w:after="80"/>
      </w:pPr>
    </w:p>
    <w:p>
      <w:pPr>
        <w:spacing w:after="110"/>
        <w:jc w:val="both"/>
      </w:pPr>
      <w:r>
        <w:rPr>
          <w:rFonts w:ascii="Poppins" w:cs="Poppins" w:eastAsia="Poppins" w:hAnsi="Poppins"/>
          <w:color w:val="211C14"/>
          <w:sz w:val="20"/>
          <w:szCs w:val="20"/>
        </w:rPr>
        <w:t xml:space="preserve">Fait contradictoirement à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[ville]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 le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[date]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, en </w:t>
      </w:r>
      <w:r>
        <w:rPr>
          <w:rFonts w:ascii="Poppins" w:cs="Poppins" w:eastAsia="Poppins" w:hAnsi="Poppins"/>
          <w:b/>
          <w:bCs/>
          <w:color w:val="700000"/>
          <w:sz w:val="20"/>
          <w:szCs w:val="20"/>
        </w:rPr>
        <w:t xml:space="preserve">[3]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 exemplaires.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3300"/>
        <w:gridCol w:w="3300"/>
      </w:tblGrid>
      <w:tr>
        <w:trPr>
          <w:trHeight w:val="115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130"/>
              <w:bottom w:type="dxa" w:w="100"/>
              <w:right w:type="dxa" w:w="130"/>
            </w:tcMar>
            <w:vAlign w:val="top"/>
          </w:tcPr>
          <w:p>
            <w:pPr>
              <w:spacing w:after="60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LE MAÎTRE DE L'OUVRAGE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56565"/>
                <w:sz w:val="14"/>
                <w:szCs w:val="14"/>
              </w:rPr>
              <w:t xml:space="preserve">Nom, date et signature :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130"/>
              <w:bottom w:type="dxa" w:w="100"/>
              <w:right w:type="dxa" w:w="130"/>
            </w:tcMar>
            <w:vAlign w:val="top"/>
          </w:tcPr>
          <w:p>
            <w:pPr>
              <w:spacing w:after="60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L'ENTREPRISE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56565"/>
                <w:sz w:val="14"/>
                <w:szCs w:val="14"/>
              </w:rPr>
              <w:t xml:space="preserve">Nom, date et signature :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100"/>
              <w:left w:type="dxa" w:w="130"/>
              <w:bottom w:type="dxa" w:w="100"/>
              <w:right w:type="dxa" w:w="130"/>
            </w:tcMar>
            <w:vAlign w:val="top"/>
          </w:tcPr>
          <w:p>
            <w:pPr>
              <w:spacing w:after="60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LE MAÎTRE D'ŒUVRE (le cas échéant)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56565"/>
                <w:sz w:val="14"/>
                <w:szCs w:val="14"/>
              </w:rPr>
              <w:t xml:space="preserve">Nom, date et signature :</w:t>
            </w:r>
          </w:p>
        </w:tc>
      </w:tr>
    </w:tbl>
    <w:p>
      <w:pPr>
        <w:sectPr>
          <w:footerReference w:type="default" r:id="rId8"/>
          <w:pgSz w:w="11906" w:h="16838" w:orient="portrait"/>
          <w:pgMar w:top="680" w:right="850" w:bottom="793" w:left="850" w:header="708" w:footer="708" w:gutter="0"/>
          <w:pgNumType/>
          <w:docGrid w:linePitch="360"/>
        </w:sectPr>
      </w:pPr>
    </w:p>
    <w:p>
      <w:pPr>
        <w:spacing w:after="60"/>
      </w:pPr>
      <w:r>
        <w:rPr>
          <w:rFonts w:ascii="Poppins" w:cs="Poppins" w:eastAsia="Poppins" w:hAnsi="Poppins"/>
          <w:b/>
          <w:bCs/>
          <w:color w:val="E78B27"/>
          <w:sz w:val="18"/>
          <w:szCs w:val="18"/>
        </w:rPr>
        <w:t xml:space="preserve">⚠ Page à conserver pour vous — ne se remet jamais au client</w:t>
      </w:r>
    </w:p>
    <w:p>
      <w:pPr>
        <w:spacing w:after="200"/>
      </w:pPr>
      <w:r>
        <w:rPr>
          <w:rFonts w:ascii="Playfair Display" w:cs="Playfair Display" w:eastAsia="Playfair Display" w:hAnsi="Playfair Display"/>
          <w:b/>
          <w:bCs/>
          <w:color w:val="700000"/>
          <w:sz w:val="36"/>
          <w:szCs w:val="36"/>
        </w:rPr>
        <w:t xml:space="preserve">La levée des réserves — les 5 réflexes</w:t>
      </w:r>
    </w:p>
    <w:p>
      <w:pPr>
        <w:pStyle w:val="ListParagraph"/>
        <w:numPr>
          <w:ilvl w:val="0"/>
          <w:numId w:val="2"/>
        </w:numPr>
        <w:spacing w:after="135" w:line="275"/>
      </w:pP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Formalisez toujours — 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la levée tacite existe (volonté non équivoque du client) mais se prouve mal : un PV signé vaut mieux qu'une plaidoirie.</w:t>
      </w:r>
    </w:p>
    <w:p>
      <w:pPr>
        <w:pStyle w:val="ListParagraph"/>
        <w:numPr>
          <w:ilvl w:val="0"/>
          <w:numId w:val="2"/>
        </w:numPr>
        <w:spacing w:after="135" w:line="275"/>
      </w:pP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Le client fait le mort ? — 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lettre (document 1), puis mise en demeure LRAR ; à défaut, le constat peut être établi judiciairement (1792-6, al. 5) — et son inertie ne peut bloquer indéfiniment votre retenue.</w:t>
      </w:r>
    </w:p>
    <w:p>
      <w:pPr>
        <w:pStyle w:val="ListParagraph"/>
        <w:numPr>
          <w:ilvl w:val="0"/>
          <w:numId w:val="2"/>
        </w:numPr>
        <w:spacing w:after="135" w:line="275"/>
      </w:pP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La provision « reprises » n'est pas la retenue de garantie — 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le client peut retenir le coût estimé des reprises tant que les réserves courent — cette provision se libère AVEC la levée, la retenue de garantie à son échéance propre.</w:t>
      </w:r>
    </w:p>
    <w:p>
      <w:pPr>
        <w:pStyle w:val="ListParagraph"/>
        <w:numPr>
          <w:ilvl w:val="0"/>
          <w:numId w:val="2"/>
        </w:numPr>
        <w:spacing w:after="135" w:line="275"/>
      </w:pP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Attention au délai d'un an — 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la garantie de parfait achèvement est un délai de FORCLUSION : strict, non interrompu par une simple mise en demeure (seule l'action en justice l'interrompt).</w:t>
      </w:r>
    </w:p>
    <w:p>
      <w:pPr>
        <w:pStyle w:val="ListParagraph"/>
        <w:numPr>
          <w:ilvl w:val="0"/>
          <w:numId w:val="2"/>
        </w:numPr>
        <w:spacing w:after="135" w:line="275"/>
      </w:pPr>
      <w:r>
        <w:rPr>
          <w:rFonts w:ascii="Poppins" w:cs="Poppins" w:eastAsia="Poppins" w:hAnsi="Poppins"/>
          <w:b/>
          <w:bCs/>
          <w:color w:val="211C14"/>
          <w:sz w:val="20"/>
          <w:szCs w:val="20"/>
        </w:rPr>
        <w:t xml:space="preserve">Une réserve non reprise peut coûter dix ans — </w:t>
      </w:r>
      <w:r>
        <w:rPr>
          <w:rFonts w:ascii="Poppins" w:cs="Poppins" w:eastAsia="Poppins" w:hAnsi="Poppins"/>
          <w:color w:val="211C14"/>
          <w:sz w:val="20"/>
          <w:szCs w:val="20"/>
        </w:rPr>
        <w:t xml:space="preserve">la jurisprudence 2026 admet qu'un désordre réservé jamais repris bascule en garantie décennale s'il en a la gravité — lever vite, c'est se protéger longtemps.</w:t>
      </w:r>
    </w:p>
    <w:p>
      <w:pPr>
        <w:spacing w:after="0" w:before="160"/>
      </w:pPr>
      <w:r>
        <w:rPr>
          <w:rFonts w:ascii="Playfair Display" w:cs="Playfair Display" w:eastAsia="Playfair Display" w:hAnsi="Playfair Display"/>
          <w:i/>
          <w:iCs/>
          <w:color w:val="700000"/>
          <w:sz w:val="24"/>
          <w:szCs w:val="24"/>
        </w:rPr>
        <w:t xml:space="preserve">Généré à la main aujourd'hui. Généré automatiquement demain ?</w:t>
      </w:r>
    </w:p>
    <w:p>
      <w:pPr>
        <w:spacing w:after="120" w:before="60"/>
      </w:pPr>
      <w:r>
        <w:rPr>
          <w:rFonts w:ascii="Poppins" w:cs="Poppins" w:eastAsia="Poppins" w:hAnsi="Poppins"/>
          <w:color w:val="656565"/>
          <w:sz w:val="19"/>
          <w:szCs w:val="19"/>
        </w:rPr>
        <w:t xml:space="preserve">WHY Manager garde le fil de chaque affaire : réception, réserves, levée, retenue de garantie, DGD — rien ne se perd — why.eu</w:t>
      </w:r>
    </w:p>
    <w:p>
      <w:r>
        <w:rPr>
          <w:rFonts w:ascii="Poppins" w:cs="Poppins" w:eastAsia="Poppins" w:hAnsi="Poppins"/>
          <w:i/>
          <w:iCs/>
          <w:color w:val="656565"/>
          <w:sz w:val="14"/>
          <w:szCs w:val="14"/>
        </w:rPr>
        <w:t xml:space="preserve">Modèle indicatif vérifié au 21/08/2026 (art. 1792 à 1792-6 C. civ., L.231-8 CCH, jurisprudence Cass. 3e civ.). Marchés publics : régime CCAG (art. 41 s.). Ne constitue pas un conseil juridique.</w:t>
      </w:r>
    </w:p>
    <w:sectPr>
      <w:headerReference w:type="default" r:id="rId9"/>
      <w:footerReference w:type="default" r:id="rId10"/>
      <w:pgSz w:w="11906" w:h="16838" w:orient="portrait"/>
      <w:pgMar w:top="680" w:right="850" w:bottom="793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489AC" w:sz="4"/>
      </w:pBdr>
      <w:tabs>
        <w:tab w:val="right" w:pos="9026"/>
      </w:tabs>
      <w:spacing w:before="60"/>
    </w:pPr>
    <w:r>
      <w:rPr>
        <w:rFonts w:ascii="Poppins" w:cs="Poppins" w:eastAsia="Poppins" w:hAnsi="Poppins"/>
        <w:color w:val="656565"/>
        <w:sz w:val="13"/>
        <w:szCs w:val="13"/>
      </w:rPr>
      <w:t xml:space="preserve">Pack réception WhySoft Group v1.1 — vérifié au 21/08/2026 (art. 1792-6 C. civ.)</w:t>
    </w:r>
    <w:r>
      <w:rPr>
        <w:rFonts w:ascii="Poppins" w:cs="Poppins" w:eastAsia="Poppins" w:hAnsi="Poppins"/>
        <w:i/>
        <w:iCs/>
        <w:color w:val="656565"/>
        <w:sz w:val="13"/>
        <w:szCs w:val="13"/>
      </w:rPr>
      <w:t xml:space="preserve">	Supprimez ce pied de page avant usage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489AC" w:sz="4"/>
      </w:pBdr>
      <w:tabs>
        <w:tab w:val="right" w:pos="9026"/>
      </w:tabs>
      <w:spacing w:before="60"/>
    </w:pPr>
    <w:r>
      <w:rPr>
        <w:rFonts w:ascii="Poppins" w:cs="Poppins" w:eastAsia="Poppins" w:hAnsi="Poppins"/>
        <w:color w:val="656565"/>
        <w:sz w:val="13"/>
        <w:szCs w:val="13"/>
      </w:rPr>
      <w:t xml:space="preserve">Pack réception WhySoft Group v1.1 — vérifié au 21/08/2026 (art. 1792-6 C. civ.)</w:t>
    </w:r>
    <w:r>
      <w:rPr>
        <w:rFonts w:ascii="Poppins" w:cs="Poppins" w:eastAsia="Poppins" w:hAnsi="Poppins"/>
        <w:i/>
        <w:iCs/>
        <w:color w:val="656565"/>
        <w:sz w:val="13"/>
        <w:szCs w:val="13"/>
      </w:rPr>
      <w:t xml:space="preserve">	Supprimez ce pied de page avant usage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489AC" w:sz="4"/>
      </w:pBdr>
      <w:tabs>
        <w:tab w:val="right" w:pos="9026"/>
      </w:tabs>
      <w:spacing w:before="60"/>
    </w:pPr>
    <w:r>
      <w:rPr>
        <w:rFonts w:ascii="Poppins" w:cs="Poppins" w:eastAsia="Poppins" w:hAnsi="Poppins"/>
        <w:color w:val="656565"/>
        <w:sz w:val="13"/>
        <w:szCs w:val="13"/>
      </w:rPr>
      <w:t xml:space="preserve">WhySoft Group — Landas (59) · why.eu · 03 20 54 89 42</w:t>
    </w:r>
    <w:r>
      <w:rPr>
        <w:rFonts w:ascii="Poppins" w:cs="Poppins" w:eastAsia="Poppins" w:hAnsi="Poppins"/>
        <w:color w:val="656565"/>
        <w:sz w:val="13"/>
        <w:szCs w:val="13"/>
      </w:rPr>
      <w:t xml:space="preserve">	Banque de modèles WHY — v1.1 · 21/08/2026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700000" w:sz="6"/>
      </w:pBdr>
      <w:spacing w:after="120"/>
    </w:pPr>
    <w:r>
      <w:drawing>
        <wp:inline distT="0" distB="0" distL="0" distR="0">
          <wp:extent cx="14287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220"/>
      </w:pPr>
      <w:rPr>
        <w:b/>
        <w:bCs/>
        <w:color w:val="E78B2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211C14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1.xml"/><Relationship Id="rId10" Type="http://schemas.openxmlformats.org/officeDocument/2006/relationships/footer" Target="footer3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15d06bf44005594fb3a51d03f567c35ff93e7d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2026-08-21T10:18:46.574Z</dcterms:created>
  <dcterms:modified xsi:type="dcterms:W3CDTF">2026-08-21T10:18:46.574Z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