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700000"/>
          <w:sz w:val="34"/>
          <w:szCs w:val="34"/>
        </w:rPr>
        <w:t xml:space="preserve">CONDITIONS GÉNÉRALES D'ACHAT</w:t>
      </w:r>
    </w:p>
    <w:p>
      <w:pPr>
        <w:pBdr>
          <w:bottom w:val="single" w:color="E78B27" w:sz="12"/>
        </w:pBdr>
        <w:spacing w:after="240"/>
        <w:jc w:val="center"/>
      </w:pPr>
      <w:r>
        <w:rPr>
          <w:i/>
          <w:iCs/>
          <w:color w:val="5d574b"/>
          <w:sz w:val="20"/>
          <w:szCs w:val="20"/>
        </w:rPr>
        <w:t xml:space="preserve">[Raison sociale de l'acheteur] — [forme juridique, capital, SIREN, siège]</w:t>
      </w:r>
    </w:p>
    <w:p>
      <w:pPr>
        <w:spacing w:after="120"/>
      </w:pPr>
      <w:r>
        <w:rPr>
          <w:i/>
          <w:iCs/>
          <w:color w:val="5d574b"/>
          <w:sz w:val="18"/>
          <w:szCs w:val="18"/>
        </w:rPr>
        <w:t xml:space="preserve">Modèle proposé par WhySoft Group (why.eu) — à adapter à votre situation. Ce document est un modèle générique : il ne constitue pas un conseil juridique. Faites-le relire avant usage. Les mentions entre crochets orange sont à compléter.</w:t>
      </w:r>
    </w:p>
    <w:p>
      <w:pPr>
        <w:pStyle w:val="Heading1"/>
        <w:spacing w:after="120" w:before="300"/>
      </w:pPr>
      <w:r>
        <w:rPr>
          <w:b/>
          <w:bCs/>
          <w:color w:val="700000"/>
        </w:rPr>
        <w:t xml:space="preserve">Article 1 — Objet et champ d'application</w:t>
      </w:r>
    </w:p>
    <w:p>
      <w:pPr>
        <w:spacing w:after="120"/>
      </w:pPr>
      <w:r>
        <w:t xml:space="preserve">Les présentes conditions générales d'achat (les « CGA ») s'appliquent à toute commande de fournitures, de matériaux ou de prestations passée par [raison sociale] (l'« Acheteur ») auprès de tout fournisseur (le « Fournisseur »). Toute acceptation d'une commande emporte adhésion aux présentes CGA.</w:t>
      </w:r>
    </w:p>
    <w:p>
      <w:pPr>
        <w:pStyle w:val="Heading1"/>
        <w:spacing w:after="120" w:before="300"/>
      </w:pPr>
      <w:r>
        <w:rPr>
          <w:b/>
          <w:bCs/>
          <w:color w:val="700000"/>
        </w:rPr>
        <w:t xml:space="preserve">Article 2 — Documents contractuels et hiérarchie</w:t>
      </w:r>
    </w:p>
    <w:p>
      <w:pPr>
        <w:spacing w:after="120"/>
      </w:pPr>
      <w:r>
        <w:t xml:space="preserve">La relation est régie, par ordre de priorité décroissant : (1) les conditions particulières figurant sur le bon de commande accepté ; (2) les présentes CGA ; (3) les conditions générales de vente du Fournisseur pour les seuls points non traités par les documents précédents. Conformément à l'article 1119 du Code civil, en cas de discordance entre conditions générales, les clauses incompatibles sont sans effet, et les conditions particulières l'emportent sur les conditions générales.</w:t>
      </w:r>
    </w:p>
    <w:p>
      <w:pPr>
        <w:pStyle w:val="Heading1"/>
        <w:spacing w:after="120" w:before="300"/>
      </w:pPr>
      <w:r>
        <w:rPr>
          <w:b/>
          <w:bCs/>
          <w:color w:val="700000"/>
        </w:rPr>
        <w:t xml:space="preserve">Article 3 — Commandes et accusé de réception</w:t>
      </w:r>
    </w:p>
    <w:p>
      <w:pPr>
        <w:spacing w:after="120"/>
      </w:pPr>
      <w:r>
        <w:t xml:space="preserve">Seules engagent l'Acheteur les commandes écrites émises sur son bon de commande. Le Fournisseur confirme chaque commande par un accusé de réception sous [3] jours ouvrés. Le silence du Fournisseur ne vaut pas acceptation de conditions différentes de celles de la commande (art. 1120 C. civ.) ; tout commencement d'exécution vaut acceptation pure et simple de la commande.</w:t>
      </w:r>
    </w:p>
    <w:p>
      <w:pPr>
        <w:pStyle w:val="Heading1"/>
        <w:spacing w:after="120" w:before="300"/>
      </w:pPr>
      <w:r>
        <w:rPr>
          <w:b/>
          <w:bCs/>
          <w:color w:val="700000"/>
        </w:rPr>
        <w:t xml:space="preserve">Article 4 — Prix et validité</w:t>
      </w:r>
    </w:p>
    <w:p>
      <w:pPr>
        <w:spacing w:after="120"/>
      </w:pPr>
      <w:r>
        <w:t xml:space="preserve">Les prix sont fermes et définitifs pour la durée de validité indiquée dans l'offre du Fournisseur, et au minimum [45] jours à compter de sa remise. Ils s'entendent [franco de port, emballage compris], hors TVA, toutes remises déduites. Aucune révision n'est admise sans avenant écrit accepté par l'Acheteur.</w:t>
      </w:r>
    </w:p>
    <w:p>
      <w:pPr>
        <w:pStyle w:val="Heading1"/>
        <w:spacing w:after="120" w:before="300"/>
      </w:pPr>
      <w:r>
        <w:rPr>
          <w:b/>
          <w:bCs/>
          <w:color w:val="700000"/>
        </w:rPr>
        <w:t xml:space="preserve">Article 5 — Livraison, délais et pénalités</w:t>
      </w:r>
    </w:p>
    <w:p>
      <w:pPr>
        <w:spacing w:after="120"/>
      </w:pPr>
      <w:r>
        <w:t xml:space="preserve">Les délais de livraison figurant sur la commande sont impératifs. La livraison s'effectue à l'adresse indiquée sur la commande, accompagnée d'un bon de livraison rappelant le numéro de commande. En cas de retard non justifié par la force majeure, l'Acheteur pourra appliquer, après mise en demeure, une pénalité de [0,5] % du montant HT des fournitures en retard par [semaine] entamée, plafonnée à [5] % ; au-delà de [30] jours de retard, la commande pourra être résolue aux torts du Fournisseur.</w:t>
      </w:r>
    </w:p>
    <w:p>
      <w:pPr>
        <w:pStyle w:val="Heading1"/>
        <w:spacing w:after="120" w:before="300"/>
      </w:pPr>
      <w:r>
        <w:rPr>
          <w:b/>
          <w:bCs/>
          <w:color w:val="700000"/>
        </w:rPr>
        <w:t xml:space="preserve">Article 6 — Transfert de propriété et des risques, transport</w:t>
      </w:r>
    </w:p>
    <w:p>
      <w:pPr>
        <w:spacing w:after="120"/>
      </w:pPr>
      <w:r>
        <w:t xml:space="preserve">Le transfert de propriété et des risques s'opère à la livraison, après réception sans réserve. Toute clause de réserve de propriété doit être expressément acceptée par l'Acheteur. En cas d'avarie ou de perte partielle imputable au transport, l'Acheteur formulera ses réserves conformément à l'article L. 133-3 du Code de commerce ; le Fournisseur s'engage à coopérer à toute action contre le transporteur.</w:t>
      </w:r>
    </w:p>
    <w:p>
      <w:pPr>
        <w:pStyle w:val="Heading1"/>
        <w:spacing w:after="120" w:before="300"/>
      </w:pPr>
      <w:r>
        <w:rPr>
          <w:b/>
          <w:bCs/>
          <w:color w:val="700000"/>
        </w:rPr>
        <w:t xml:space="preserve">Article 7 — Réception et conformité</w:t>
      </w:r>
    </w:p>
    <w:p>
      <w:pPr>
        <w:spacing w:after="120"/>
      </w:pPr>
      <w:r>
        <w:t xml:space="preserve">Les fournitures sont réceptionnées sous réserve du contrôle quantitatif et qualitatif de l'Acheteur, effectué dans un délai raisonnable après livraison. Les fournitures non conformes à la commande ou aux normes applicables sont refusées et tenues à disposition du Fournisseur, à ses frais et risques ; leur remplacement intervient sous [8] jours, sans préjudice des pénalités de retard.</w:t>
      </w:r>
    </w:p>
    <w:p>
      <w:pPr>
        <w:pStyle w:val="Heading1"/>
        <w:spacing w:after="120" w:before="300"/>
      </w:pPr>
      <w:r>
        <w:rPr>
          <w:b/>
          <w:bCs/>
          <w:color w:val="700000"/>
        </w:rPr>
        <w:t xml:space="preserve">Article 8 — Garanties</w:t>
      </w:r>
    </w:p>
    <w:p>
      <w:pPr>
        <w:spacing w:after="120"/>
      </w:pPr>
      <w:r>
        <w:t xml:space="preserve">Le Fournisseur garantit les fournitures contre tout défaut de conformité et tout vice caché, dans les conditions légales, et pour une durée contractuelle minimale de [12] mois à compter de la réception. Il garantit disposer de tous les droits de propriété intellectuelle nécessaires et relève l'Acheteur de toute réclamation à ce titre.</w:t>
      </w:r>
    </w:p>
    <w:p>
      <w:pPr>
        <w:pStyle w:val="Heading1"/>
        <w:spacing w:after="120" w:before="300"/>
      </w:pPr>
      <w:r>
        <w:rPr>
          <w:b/>
          <w:bCs/>
          <w:color w:val="700000"/>
        </w:rPr>
        <w:t xml:space="preserve">Article 9 — Facturation</w:t>
      </w:r>
    </w:p>
    <w:p>
      <w:pPr>
        <w:spacing w:after="120"/>
      </w:pPr>
      <w:r>
        <w:t xml:space="preserve">Les factures, établies en un exemplaire par commande ou par livraison, rappellent le numéro de commande et, le cas échéant, le numéro de bon de livraison. Elles comportent l'ensemble des mentions obligatoires et sont transmises au format de facturation électronique en vigueur, via la plateforme agréée désignée par chaque partie, conformément à la réglementation applicable.</w:t>
      </w:r>
    </w:p>
    <w:p>
      <w:pPr>
        <w:pStyle w:val="Heading1"/>
        <w:spacing w:after="120" w:before="300"/>
      </w:pPr>
      <w:r>
        <w:rPr>
          <w:b/>
          <w:bCs/>
          <w:color w:val="700000"/>
        </w:rPr>
        <w:t xml:space="preserve">Article 10 — Paiement</w:t>
      </w:r>
    </w:p>
    <w:p>
      <w:pPr>
        <w:spacing w:after="120"/>
      </w:pPr>
      <w:r>
        <w:t xml:space="preserve">Sauf conditions particulières, les factures sont payables à [45 jours fin de mois / 60 jours date de facture], dans le respect des plafonds de l'article L. 441-10 du Code de commerce. Tout retard de paiement ouvre droit, sans rappel préalable, aux pénalités au taux légal en vigueur et à l'indemnité forfaitaire de recouvrement de 40 € (art. D. 441-5 C. com.).</w:t>
      </w:r>
    </w:p>
    <w:p>
      <w:pPr>
        <w:pStyle w:val="Heading1"/>
        <w:spacing w:after="120" w:before="300"/>
      </w:pPr>
      <w:r>
        <w:rPr>
          <w:b/>
          <w:bCs/>
          <w:color w:val="700000"/>
        </w:rPr>
        <w:t xml:space="preserve">Article 11 — Obligation de vigilance et conformité sociale</w:t>
      </w:r>
    </w:p>
    <w:p>
      <w:pPr>
        <w:spacing w:after="120"/>
      </w:pPr>
      <w:r>
        <w:t xml:space="preserve">Pour toute prestation d'un montant au moins égal à 5 000 € HT, le Fournisseur remet à la signature, puis tous les six mois, son attestation de vigilance URSSAF (art. L. 8222-1 et R. 8222-1 C. trav.), ainsi que tout document exigé par la réglementation applicable.</w:t>
      </w:r>
    </w:p>
    <w:p>
      <w:pPr>
        <w:pStyle w:val="Heading1"/>
        <w:spacing w:after="120" w:before="300"/>
      </w:pPr>
      <w:r>
        <w:rPr>
          <w:b/>
          <w:bCs/>
          <w:color w:val="700000"/>
        </w:rPr>
        <w:t xml:space="preserve">Article 12 — Confidentialité</w:t>
      </w:r>
    </w:p>
    <w:p>
      <w:pPr>
        <w:spacing w:after="120"/>
      </w:pPr>
      <w:r>
        <w:t xml:space="preserve">Chaque partie garde confidentiels les informations, documents et prix échangés à l'occasion des consultations et des commandes, pendant toute la durée de la relation et [2] ans après son terme.</w:t>
      </w:r>
    </w:p>
    <w:p>
      <w:pPr>
        <w:pStyle w:val="Heading1"/>
        <w:spacing w:after="120" w:before="300"/>
      </w:pPr>
      <w:r>
        <w:rPr>
          <w:b/>
          <w:bCs/>
          <w:color w:val="700000"/>
        </w:rPr>
        <w:t xml:space="preserve">Article 13 — Rupture de la relation commerciale</w:t>
      </w:r>
    </w:p>
    <w:p>
      <w:pPr>
        <w:spacing w:after="120"/>
      </w:pPr>
      <w:r>
        <w:t xml:space="preserve">La cessation ou la réduction significative des commandes par l'Acheteur ne pourra intervenir qu'avec un préavis écrit tenant compte de la durée de la relation commerciale, conformément à l'article L. 442-1, II du Code de commerce.</w:t>
      </w:r>
    </w:p>
    <w:p>
      <w:pPr>
        <w:pStyle w:val="Heading1"/>
        <w:spacing w:after="120" w:before="300"/>
      </w:pPr>
      <w:r>
        <w:rPr>
          <w:b/>
          <w:bCs/>
          <w:color w:val="700000"/>
        </w:rPr>
        <w:t xml:space="preserve">Article 14 — Droit applicable et juridiction</w:t>
      </w:r>
    </w:p>
    <w:p>
      <w:pPr>
        <w:spacing w:after="120"/>
      </w:pPr>
      <w:r>
        <w:t xml:space="preserve">Les présentes CGA sont soumises au droit français. Tout litige relève, à défaut d'accord amiable, du tribunal de commerce de [ville], nonobstant pluralité de défendeurs ou appel en garantie.</w:t>
      </w:r>
    </w:p>
    <w:p>
      <w:pPr>
        <w:pBdr>
          <w:top w:val="single" w:color="E8E0CC" w:sz="6"/>
        </w:pBdr>
        <w:spacing w:before="280"/>
      </w:pPr>
      <w:r>
        <w:rPr>
          <w:i/>
          <w:iCs/>
          <w:color w:val="5d574b"/>
          <w:sz w:val="16"/>
          <w:szCs w:val="16"/>
        </w:rPr>
        <w:t xml:space="preserve">© WhySoft Group — why.eu · Modèle de conditions générales d'achat · version du 25/08/2026. Reproduction autorisée pour usage interne.</w:t>
      </w:r>
    </w:p>
    <w:sectPr>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00"/>
    </w:pPr>
    <w:rPr>
      <w:rFonts w:ascii="Arial" w:cs="Arial" w:eastAsia="Arial" w:hAnsi="Arial"/>
      <w:b/>
      <w:bCs/>
      <w:color w:val="7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2026-08-25T10:18:25.124Z</dcterms:created>
  <dcterms:modified xsi:type="dcterms:W3CDTF">2026-08-25T10:18:25.151Z</dcterms:modified>
</cp:coreProperties>
</file>

<file path=docProps/custom.xml><?xml version="1.0" encoding="utf-8"?>
<Properties xmlns="http://schemas.openxmlformats.org/officeDocument/2006/custom-properties" xmlns:vt="http://schemas.openxmlformats.org/officeDocument/2006/docPropsVTypes"/>
</file>