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40"/>
      </w:pPr>
      <w:r>
        <w:rPr>
          <w:rFonts w:ascii="Poppins" w:cs="Poppins" w:eastAsia="Poppins" w:hAnsi="Poppins"/>
          <w:b/>
          <w:bCs/>
          <w:color w:val="FDA649"/>
          <w:spacing w:val="60"/>
          <w:sz w:val="17"/>
          <w:szCs w:val="17"/>
        </w:rPr>
        <w:t xml:space="preserve">MODÈLE ET MODE D'EMPLOI</w:t>
      </w:r>
    </w:p>
    <w:p>
      <w:pPr>
        <w:spacing w:after="40"/>
      </w:pPr>
      <w:r>
        <w:rPr>
          <w:rFonts w:ascii="Playfair Display" w:cs="Playfair Display" w:eastAsia="Playfair Display" w:hAnsi="Playfair Display"/>
          <w:b/>
          <w:bCs/>
          <w:color w:val="700000"/>
          <w:sz w:val="52"/>
          <w:szCs w:val="52"/>
        </w:rPr>
        <w:t xml:space="preserve">Facture acquittée</w:t>
      </w:r>
    </w:p>
    <w:p>
      <w:pPr>
        <w:spacing w:after="200"/>
      </w:pPr>
      <w:r>
        <w:rPr>
          <w:rFonts w:ascii="Playfair Display" w:cs="Playfair Display" w:eastAsia="Playfair Display" w:hAnsi="Playfair Display"/>
          <w:i/>
          <w:iCs/>
          <w:color w:val="656565"/>
          <w:sz w:val="24"/>
          <w:szCs w:val="24"/>
        </w:rPr>
        <w:t xml:space="preserve">Le modèle à compléter, les cinq formules d'acquit à copier-coller, et les cas où elle vous sera réclamée.</w:t>
      </w:r>
    </w:p>
    <w:p>
      <w:pPr>
        <w:pBdr>
          <w:top w:val="single" w:color="F5F0DD" w:sz="2" w:space="6"/>
          <w:left w:val="single" w:color="FDA649" w:sz="18" w:space="8"/>
          <w:bottom w:val="none" w:color="FFFFFF" w:sz="0"/>
          <w:right w:val="single" w:color="F5F0DD" w:sz="2" w:space="6"/>
        </w:pBdr>
        <w:shd w:fill="F5F0DD" w:color="auto" w:val="clear"/>
        <w:spacing w:after="40" w:before="120"/>
        <w:ind w:left="200" w:right="160"/>
      </w:pPr>
      <w:r>
        <w:rPr>
          <w:rFonts w:ascii="Poppins" w:cs="Poppins" w:eastAsia="Poppins" w:hAnsi="Poppins"/>
          <w:b/>
          <w:bCs/>
          <w:color w:val="700000"/>
          <w:sz w:val="19"/>
          <w:szCs w:val="19"/>
        </w:rPr>
        <w:t xml:space="preserve">Ce que ce document contient</w:t>
      </w:r>
    </w:p>
    <w:p>
      <w:pPr>
        <w:pBdr>
          <w:top w:val="none" w:color="FFFFFF" w:sz="0"/>
          <w:left w:val="single" w:color="FDA649" w:sz="18" w:space="8"/>
          <w:bottom w:val="none" w:color="FFFFFF" w:sz="0"/>
          <w:right w:val="single" w:color="F5F0DD" w:sz="2" w:space="6"/>
        </w:pBdr>
        <w:shd w:fill="F5F0DD" w:color="auto" w:val="clear"/>
        <w:spacing w:after="40" w:before="0"/>
        <w:ind w:left="200" w:right="160"/>
      </w:pPr>
      <w:r>
        <w:rPr>
          <w:rFonts w:ascii="Poppins" w:cs="Poppins" w:eastAsia="Poppins" w:hAnsi="Poppins"/>
          <w:color w:val="222222"/>
          <w:sz w:val="19"/>
          <w:szCs w:val="19"/>
        </w:rPr>
        <w:t xml:space="preserve">1 — Le modèle de facture acquittée, prêt à compléter</w:t>
      </w:r>
    </w:p>
    <w:p>
      <w:pPr>
        <w:pBdr>
          <w:top w:val="none" w:color="FFFFFF" w:sz="0"/>
          <w:left w:val="single" w:color="FDA649" w:sz="18" w:space="8"/>
          <w:bottom w:val="none" w:color="FFFFFF" w:sz="0"/>
          <w:right w:val="single" w:color="F5F0DD" w:sz="2" w:space="6"/>
        </w:pBdr>
        <w:shd w:fill="F5F0DD" w:color="auto" w:val="clear"/>
        <w:spacing w:after="40" w:before="0"/>
        <w:ind w:left="200" w:right="160"/>
      </w:pPr>
      <w:r>
        <w:rPr>
          <w:rFonts w:ascii="Poppins" w:cs="Poppins" w:eastAsia="Poppins" w:hAnsi="Poppins"/>
          <w:color w:val="222222"/>
          <w:sz w:val="19"/>
          <w:szCs w:val="19"/>
        </w:rPr>
        <w:t xml:space="preserve">2 — Les cinq formules d'acquit, selon le mode de règlement</w:t>
      </w:r>
    </w:p>
    <w:p>
      <w:pPr>
        <w:pBdr>
          <w:top w:val="none" w:color="FFFFFF" w:sz="0"/>
          <w:left w:val="single" w:color="FDA649" w:sz="18" w:space="8"/>
          <w:bottom w:val="none" w:color="FFFFFF" w:sz="0"/>
          <w:right w:val="single" w:color="F5F0DD" w:sz="2" w:space="6"/>
        </w:pBdr>
        <w:shd w:fill="F5F0DD" w:color="auto" w:val="clear"/>
        <w:spacing w:after="40" w:before="0"/>
        <w:ind w:left="200" w:right="160"/>
      </w:pPr>
      <w:r>
        <w:rPr>
          <w:rFonts w:ascii="Poppins" w:cs="Poppins" w:eastAsia="Poppins" w:hAnsi="Poppins"/>
          <w:color w:val="222222"/>
          <w:sz w:val="19"/>
          <w:szCs w:val="19"/>
        </w:rPr>
        <w:t xml:space="preserve">3 — La check-list des quatre mentions, et les trois erreurs qui annulent la preuve</w:t>
      </w:r>
    </w:p>
    <w:p>
      <w:pPr>
        <w:pBdr>
          <w:top w:val="none" w:color="FFFFFF" w:sz="0"/>
          <w:left w:val="single" w:color="FDA649" w:sz="18" w:space="8"/>
          <w:bottom w:val="single" w:color="F5F0DD" w:sz="2" w:space="6"/>
          <w:right w:val="single" w:color="F5F0DD" w:sz="2" w:space="6"/>
        </w:pBdr>
        <w:shd w:fill="F5F0DD" w:color="auto" w:val="clear"/>
        <w:spacing w:after="160" w:before="0"/>
        <w:ind w:left="200" w:right="160"/>
      </w:pPr>
      <w:r>
        <w:rPr>
          <w:rFonts w:ascii="Poppins" w:cs="Poppins" w:eastAsia="Poppins" w:hAnsi="Poppins"/>
          <w:color w:val="222222"/>
          <w:sz w:val="19"/>
          <w:szCs w:val="19"/>
        </w:rPr>
        <w:t xml:space="preserve">4 — Les cas où une facture acquittée vous sera réclamée</w:t>
      </w:r>
    </w:p>
    <w:p>
      <w:pPr>
        <w:spacing w:after="160" w:before="0"/>
      </w:pPr>
      <w:r>
        <w:rPr>
          <w:rFonts w:ascii="Poppins" w:cs="Poppins" w:eastAsia="Poppins" w:hAnsi="Poppins"/>
          <w:color w:val="333333"/>
          <w:sz w:val="20"/>
          <w:szCs w:val="20"/>
        </w:rPr>
        <w:t xml:space="preserve">La facture acquittée n'est imposée par aucun texte. Elle tire sa force de l'article 1353 du Code civil : celui qui se prétend libéré d'une dette doit justifier le paiement. C'est donc à celui qui a payé de le prouver — et ce document est la façon la plus simple de lui en donner le moyen.</w:t>
      </w:r>
    </w:p>
    <w:p>
      <w:pPr>
        <w:pBdr>
          <w:bottom w:val="single" w:color="FDA649" w:sz="12" w:space="6"/>
        </w:pBdr>
        <w:spacing w:after="60" w:before="320"/>
      </w:pPr>
      <w:r>
        <w:rPr>
          <w:rFonts w:ascii="Playfair Display" w:cs="Playfair Display" w:eastAsia="Playfair Display" w:hAnsi="Playfair Display"/>
          <w:b/>
          <w:bCs/>
          <w:color w:val="700000"/>
          <w:sz w:val="30"/>
          <w:szCs w:val="30"/>
        </w:rPr>
        <w:t xml:space="preserve">1. Le modèle de facture acquittée</w:t>
      </w:r>
    </w:p>
    <w:p>
      <w:pPr>
        <w:spacing w:after="140" w:before="0"/>
      </w:pPr>
      <w:r>
        <w:rPr>
          <w:rFonts w:ascii="Poppins" w:cs="Poppins" w:eastAsia="Poppins" w:hAnsi="Poppins"/>
          <w:color w:val="222222"/>
          <w:sz w:val="20"/>
          <w:szCs w:val="20"/>
        </w:rPr>
        <w:t xml:space="preserve">Une facture acquittée n'est pas un nouveau document : c'est votre facture d'origine, complétée après encaissement. Reprenez votre facture telle qu'elle a été émise, et ajoutez-y le bloc ci-dessous.</w:t>
      </w:r>
    </w:p>
    <w:p>
      <w:pPr>
        <w:spacing w:after="60" w:before="240"/>
      </w:pPr>
      <w:r>
        <w:rPr>
          <w:rFonts w:ascii="Poppins" w:cs="Poppins" w:eastAsia="Poppins" w:hAnsi="Poppins"/>
          <w:b/>
          <w:bCs/>
          <w:color w:val="700000"/>
          <w:sz w:val="22"/>
          <w:szCs w:val="22"/>
        </w:rPr>
        <w:t xml:space="preserve">Ce qui doit déjà figurer sur la facture</w:t>
      </w:r>
    </w:p>
    <w:tbl>
      <w:tblPr>
        <w:tblW w:type="dxa" w:w="8700"/>
        <w:tblBorders>
          <w:top w:val="single" w:color="D9D9D9" w:sz="2"/>
          <w:left w:val="single" w:color="D9D9D9" w:sz="2"/>
          <w:bottom w:val="single" w:color="D9D9D9" w:sz="2"/>
          <w:right w:val="single" w:color="D9D9D9" w:sz="2"/>
          <w:insideH w:val="single" w:color="D9D9D9" w:sz="2"/>
          <w:insideV w:val="single" w:color="D9D9D9" w:sz="2"/>
        </w:tblBorders>
      </w:tblPr>
      <w:tblGrid>
        <w:gridCol w:w="2400"/>
        <w:gridCol w:w="6300"/>
      </w:tblGrid>
      <w:tr>
        <w:trPr>
          <w:tblHeader/>
        </w:trPr>
        <w:tc>
          <w:tcPr>
            <w:tcW w:type="dxa" w:w="2400"/>
            <w:shd w:fill="F1F3F4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Bloc</w:t>
            </w:r>
          </w:p>
        </w:tc>
        <w:tc>
          <w:tcPr>
            <w:tcW w:type="dxa" w:w="6300"/>
            <w:shd w:fill="F1F3F4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Contenu</w:t>
            </w:r>
          </w:p>
        </w:tc>
      </w:tr>
      <w:tr>
        <w:tc>
          <w:tcPr>
            <w:tcW w:type="dxa" w:w="24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Identification</w:t>
            </w:r>
          </w:p>
        </w:tc>
        <w:tc>
          <w:tcPr>
            <w:tcW w:type="dxa" w:w="63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color w:val="222222"/>
                <w:sz w:val="18"/>
                <w:szCs w:val="18"/>
              </w:rPr>
              <w:t xml:space="preserve">Vos raison sociale, adresse, SIRET, RCS ou RM, numéro de TVA intracommunautaire si vous y êtes assujetti.</w:t>
            </w:r>
          </w:p>
        </w:tc>
      </w:tr>
      <w:tr>
        <w:tc>
          <w:tcPr>
            <w:tcW w:type="dxa" w:w="2400"/>
            <w:shd w:fill="FBFA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Client</w:t>
            </w:r>
          </w:p>
        </w:tc>
        <w:tc>
          <w:tcPr>
            <w:tcW w:type="dxa" w:w="6300"/>
            <w:shd w:fill="FBFA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color w:val="222222"/>
                <w:sz w:val="18"/>
                <w:szCs w:val="18"/>
              </w:rPr>
              <w:t xml:space="preserve">Raison sociale ou nom, adresse de facturation, numéro de TVA si professionnel.</w:t>
            </w:r>
          </w:p>
        </w:tc>
      </w:tr>
      <w:tr>
        <w:tc>
          <w:tcPr>
            <w:tcW w:type="dxa" w:w="24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Facture</w:t>
            </w:r>
          </w:p>
        </w:tc>
        <w:tc>
          <w:tcPr>
            <w:tcW w:type="dxa" w:w="63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color w:val="222222"/>
                <w:sz w:val="18"/>
                <w:szCs w:val="18"/>
              </w:rPr>
              <w:t xml:space="preserve">Numéro unique, date d'émission, désignation des travaux ou prestations, montants HT, TVA et TTC.</w:t>
            </w:r>
          </w:p>
        </w:tc>
      </w:tr>
    </w:tbl>
    <w:p>
      <w:pPr>
        <w:spacing w:after="60" w:before="240"/>
      </w:pPr>
      <w:r>
        <w:rPr>
          <w:rFonts w:ascii="Poppins" w:cs="Poppins" w:eastAsia="Poppins" w:hAnsi="Poppins"/>
          <w:b/>
          <w:bCs/>
          <w:color w:val="700000"/>
          <w:sz w:val="22"/>
          <w:szCs w:val="22"/>
        </w:rPr>
        <w:t xml:space="preserve">Le bloc d'acquit à ajouter</w:t>
      </w:r>
    </w:p>
    <w:p>
      <w:pPr>
        <w:spacing w:after="120" w:before="0"/>
      </w:pPr>
      <w:r>
        <w:rPr>
          <w:rFonts w:ascii="Poppins" w:cs="Poppins" w:eastAsia="Poppins" w:hAnsi="Poppins"/>
          <w:color w:val="222222"/>
          <w:sz w:val="20"/>
          <w:szCs w:val="20"/>
        </w:rPr>
        <w:t xml:space="preserve">À placer sous le total TTC, dans un cadre visible. Complétez les quatre champs entre crochets, puis signez et tamponnez.</w:t>
      </w:r>
    </w:p>
    <w:p>
      <w:pPr>
        <w:pBdr>
          <w:top w:val="single" w:color="700000" w:sz="8" w:space="10"/>
          <w:left w:val="single" w:color="700000" w:sz="8" w:space="10"/>
          <w:bottom w:val="none" w:color="FFFFFF" w:sz="0"/>
          <w:right w:val="single" w:color="700000" w:sz="8" w:space="10"/>
        </w:pBdr>
        <w:shd w:fill="FFFFFF" w:color="auto" w:val="clear"/>
        <w:spacing w:after="60" w:before="60"/>
        <w:ind w:left="200" w:right="200"/>
      </w:pPr>
      <w:r>
        <w:rPr>
          <w:rFonts w:ascii="Poppins" w:cs="Poppins" w:eastAsia="Poppins" w:hAnsi="Poppins"/>
          <w:b/>
          <w:bCs/>
          <w:color w:val="700000"/>
          <w:sz w:val="24"/>
          <w:szCs w:val="24"/>
        </w:rPr>
        <w:t xml:space="preserve">FACTURE ACQUITTÉE</w:t>
      </w:r>
    </w:p>
    <w:p>
      <w:pPr>
        <w:pBdr>
          <w:top w:val="none" w:color="FFFFFF" w:sz="0"/>
          <w:left w:val="single" w:color="700000" w:sz="8" w:space="10"/>
          <w:bottom w:val="none" w:color="FFFFFF" w:sz="0"/>
          <w:right w:val="single" w:color="700000" w:sz="8" w:space="10"/>
        </w:pBdr>
        <w:shd w:fill="FFFFFF" w:color="auto" w:val="clear"/>
        <w:spacing w:after="60" w:before="0"/>
        <w:ind w:left="200" w:right="20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>Reçu le montant de …………………………… € TTC</w:t>
      </w:r>
    </w:p>
    <w:p>
      <w:pPr>
        <w:pBdr>
          <w:top w:val="none" w:color="FFFFFF" w:sz="0"/>
          <w:left w:val="single" w:color="700000" w:sz="8" w:space="10"/>
          <w:bottom w:val="none" w:color="FFFFFF" w:sz="0"/>
          <w:right w:val="single" w:color="700000" w:sz="8" w:space="10"/>
        </w:pBdr>
        <w:shd w:fill="FFFFFF" w:color="auto" w:val="clear"/>
        <w:spacing w:after="60" w:before="0"/>
        <w:ind w:left="200" w:right="20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>Date effective du règlement : ……… / ……… / …………</w:t>
      </w:r>
    </w:p>
    <w:p>
      <w:pPr>
        <w:pBdr>
          <w:top w:val="none" w:color="FFFFFF" w:sz="0"/>
          <w:left w:val="single" w:color="700000" w:sz="8" w:space="10"/>
          <w:bottom w:val="none" w:color="FFFFFF" w:sz="0"/>
          <w:right w:val="single" w:color="700000" w:sz="8" w:space="10"/>
        </w:pBdr>
        <w:shd w:fill="FFFFFF" w:color="auto" w:val="clear"/>
        <w:spacing w:after="60" w:before="0"/>
        <w:ind w:left="200" w:right="20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>Mode de règlement : ………………………………………………</w:t>
      </w:r>
    </w:p>
    <w:p>
      <w:pPr>
        <w:pBdr>
          <w:top w:val="none" w:color="FFFFFF" w:sz="0"/>
          <w:left w:val="single" w:color="700000" w:sz="8" w:space="10"/>
          <w:bottom w:val="none" w:color="FFFFFF" w:sz="0"/>
          <w:right w:val="single" w:color="700000" w:sz="8" w:space="10"/>
        </w:pBdr>
        <w:shd w:fill="FFFFFF" w:color="auto" w:val="clear"/>
        <w:spacing w:after="60" w:before="0"/>
        <w:ind w:left="200" w:right="20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>Référence du paiement : …………………………………………</w:t>
      </w:r>
    </w:p>
    <w:p>
      <w:pPr>
        <w:pBdr>
          <w:top w:val="none" w:color="FFFFFF" w:sz="0"/>
          <w:left w:val="single" w:color="700000" w:sz="8" w:space="10"/>
          <w:bottom w:val="none" w:color="FFFFFF" w:sz="0"/>
          <w:right w:val="single" w:color="700000" w:sz="8" w:space="10"/>
        </w:pBdr>
        <w:shd w:fill="FFFFFF" w:color="auto" w:val="clear"/>
        <w:spacing w:after="60" w:before="0"/>
        <w:ind w:left="200" w:right="20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/>
      </w:r>
    </w:p>
    <w:p>
      <w:pPr>
        <w:pBdr>
          <w:top w:val="none" w:color="FFFFFF" w:sz="0"/>
          <w:left w:val="single" w:color="700000" w:sz="8" w:space="10"/>
          <w:bottom w:val="single" w:color="700000" w:sz="8" w:space="10"/>
          <w:right w:val="single" w:color="700000" w:sz="8" w:space="10"/>
        </w:pBdr>
        <w:shd w:fill="FFFFFF" w:color="auto" w:val="clear"/>
        <w:spacing w:after="700" w:before="0"/>
        <w:ind w:left="200" w:right="20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>Cachet et signature de l'entreprise :</w:t>
      </w:r>
    </w:p>
    <w:p>
      <w:pPr>
        <w:pBdr>
          <w:top w:val="single" w:color="F5F0DD" w:sz="2" w:space="6"/>
          <w:left w:val="single" w:color="700000" w:sz="18" w:space="8"/>
          <w:bottom w:val="none" w:color="FFFFFF" w:sz="0"/>
          <w:right w:val="single" w:color="F5F0DD" w:sz="2" w:space="6"/>
        </w:pBdr>
        <w:shd w:fill="F5F0DD" w:color="auto" w:val="clear"/>
        <w:spacing w:after="40" w:before="120"/>
        <w:ind w:left="200" w:right="160"/>
      </w:pPr>
      <w:r>
        <w:rPr>
          <w:rFonts w:ascii="Poppins" w:cs="Poppins" w:eastAsia="Poppins" w:hAnsi="Poppins"/>
          <w:b/>
          <w:bCs/>
          <w:color w:val="700000"/>
          <w:sz w:val="19"/>
          <w:szCs w:val="19"/>
        </w:rPr>
        <w:t xml:space="preserve">Attention — n'acquittez qu'après encaissement réel</w:t>
      </w:r>
    </w:p>
    <w:p>
      <w:pPr>
        <w:pBdr>
          <w:top w:val="none" w:color="FFFFFF" w:sz="0"/>
          <w:left w:val="single" w:color="700000" w:sz="18" w:space="8"/>
          <w:bottom w:val="single" w:color="F5F0DD" w:sz="2" w:space="6"/>
          <w:right w:val="single" w:color="F5F0DD" w:sz="2" w:space="6"/>
        </w:pBdr>
        <w:shd w:fill="F5F0DD" w:color="auto" w:val="clear"/>
        <w:spacing w:after="160" w:before="0"/>
        <w:ind w:left="200" w:right="160"/>
      </w:pPr>
      <w:r>
        <w:rPr>
          <w:rFonts w:ascii="Poppins" w:cs="Poppins" w:eastAsia="Poppins" w:hAnsi="Poppins"/>
          <w:color w:val="222222"/>
          <w:sz w:val="19"/>
          <w:szCs w:val="19"/>
        </w:rPr>
        <w:t xml:space="preserve">La mention s'appose lorsque les fonds sont sur le compte, pas à réception du chèque ou de l'ordre de virement. Un acquit délivré sur un chèque qui revient impayé vous prive de votre propre preuve de créance.</w:t>
      </w:r>
    </w:p>
    <w:p>
      <w:pPr>
        <w:pBdr>
          <w:bottom w:val="single" w:color="FDA649" w:sz="12" w:space="6"/>
        </w:pBdr>
        <w:spacing w:after="60" w:before="320"/>
      </w:pPr>
      <w:r>
        <w:rPr>
          <w:rFonts w:ascii="Playfair Display" w:cs="Playfair Display" w:eastAsia="Playfair Display" w:hAnsi="Playfair Display"/>
          <w:b/>
          <w:bCs/>
          <w:color w:val="700000"/>
          <w:sz w:val="30"/>
          <w:szCs w:val="30"/>
        </w:rPr>
        <w:t xml:space="preserve">2. Les cinq formules d'acquit</w:t>
      </w:r>
    </w:p>
    <w:p>
      <w:pPr>
        <w:spacing w:after="60" w:before="0"/>
      </w:pPr>
      <w:r>
        <w:rPr>
          <w:rFonts w:ascii="Poppins" w:cs="Poppins" w:eastAsia="Poppins" w:hAnsi="Poppins"/>
          <w:color w:val="222222"/>
          <w:sz w:val="20"/>
          <w:szCs w:val="20"/>
        </w:rPr>
        <w:t xml:space="preserve">Le mode de règlement change la formule, parce qu'il change ce qui est traçable. Copiez celle qui correspond.</w:t>
      </w:r>
    </w:p>
    <w:p>
      <w:pPr>
        <w:spacing w:after="60" w:before="200"/>
      </w:pPr>
      <w:r>
        <w:rPr>
          <w:rFonts w:ascii="Poppins" w:cs="Poppins" w:eastAsia="Poppins" w:hAnsi="Poppins"/>
          <w:b/>
          <w:bCs/>
          <w:color w:val="700000"/>
          <w:sz w:val="19"/>
          <w:szCs w:val="19"/>
        </w:rPr>
        <w:t xml:space="preserve">Virement bancaire</w:t>
      </w:r>
    </w:p>
    <w:p>
      <w:pPr>
        <w:pBdr>
          <w:top w:val="single" w:color="F5F0DD" w:sz="2" w:space="6"/>
          <w:left w:val="single" w:color="700000" w:sz="14" w:space="8"/>
          <w:bottom w:val="none" w:color="FFFFFF" w:sz="0"/>
          <w:right w:val="single" w:color="F5F0DD" w:sz="2" w:space="6"/>
        </w:pBdr>
        <w:shd w:fill="F5F0DD" w:color="auto" w:val="clear"/>
        <w:spacing w:after="30" w:before="40"/>
        <w:ind w:left="160" w:right="160"/>
      </w:pPr>
      <w:r>
        <w:rPr>
          <w:rFonts w:ascii="Poppins" w:cs="Poppins" w:eastAsia="Poppins" w:hAnsi="Poppins"/>
          <w:b/>
          <w:bCs/>
          <w:color w:val="222222"/>
          <w:sz w:val="19"/>
          <w:szCs w:val="19"/>
        </w:rPr>
        <w:t xml:space="preserve">Facture acquittée le [JJ/MM/AAAA] par virement bancaire,</w:t>
      </w:r>
    </w:p>
    <w:p>
      <w:pPr>
        <w:pBdr>
          <w:top w:val="none" w:color="FFFFFF" w:sz="0"/>
          <w:left w:val="single" w:color="700000" w:sz="14" w:space="8"/>
          <w:bottom w:val="none" w:color="FFFFFF" w:sz="0"/>
          <w:right w:val="single" w:color="F5F0DD" w:sz="2" w:space="6"/>
        </w:pBdr>
        <w:shd w:fill="F5F0DD" w:color="auto" w:val="clear"/>
        <w:spacing w:after="30" w:before="0"/>
        <w:ind w:left="160" w:right="16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>référence [libellé ou référence SEPA du virement],</w:t>
      </w:r>
    </w:p>
    <w:p>
      <w:pPr>
        <w:pBdr>
          <w:top w:val="none" w:color="FFFFFF" w:sz="0"/>
          <w:left w:val="single" w:color="700000" w:sz="14" w:space="8"/>
          <w:bottom w:val="single" w:color="F5F0DD" w:sz="2" w:space="6"/>
          <w:right w:val="single" w:color="F5F0DD" w:sz="2" w:space="6"/>
        </w:pBdr>
        <w:shd w:fill="F5F0DD" w:color="auto" w:val="clear"/>
        <w:spacing w:after="160" w:before="0"/>
        <w:ind w:left="160" w:right="16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>pour un montant de [montant] € TTC.</w:t>
      </w:r>
    </w:p>
    <w:p>
      <w:pPr>
        <w:spacing w:after="60" w:before="200"/>
      </w:pPr>
      <w:r>
        <w:rPr>
          <w:rFonts w:ascii="Poppins" w:cs="Poppins" w:eastAsia="Poppins" w:hAnsi="Poppins"/>
          <w:b/>
          <w:bCs/>
          <w:color w:val="700000"/>
          <w:sz w:val="19"/>
          <w:szCs w:val="19"/>
        </w:rPr>
        <w:t xml:space="preserve">Chèque</w:t>
      </w:r>
    </w:p>
    <w:p>
      <w:pPr>
        <w:pBdr>
          <w:top w:val="single" w:color="F5F0DD" w:sz="2" w:space="6"/>
          <w:left w:val="single" w:color="700000" w:sz="14" w:space="8"/>
          <w:bottom w:val="none" w:color="FFFFFF" w:sz="0"/>
          <w:right w:val="single" w:color="F5F0DD" w:sz="2" w:space="6"/>
        </w:pBdr>
        <w:shd w:fill="F5F0DD" w:color="auto" w:val="clear"/>
        <w:spacing w:after="30" w:before="40"/>
        <w:ind w:left="160" w:right="160"/>
      </w:pPr>
      <w:r>
        <w:rPr>
          <w:rFonts w:ascii="Poppins" w:cs="Poppins" w:eastAsia="Poppins" w:hAnsi="Poppins"/>
          <w:b/>
          <w:bCs/>
          <w:color w:val="222222"/>
          <w:sz w:val="19"/>
          <w:szCs w:val="19"/>
        </w:rPr>
        <w:t xml:space="preserve">Facture acquittée le [JJ/MM/AAAA] par chèque n° [numéro],</w:t>
      </w:r>
    </w:p>
    <w:p>
      <w:pPr>
        <w:pBdr>
          <w:top w:val="none" w:color="FFFFFF" w:sz="0"/>
          <w:left w:val="single" w:color="700000" w:sz="14" w:space="8"/>
          <w:bottom w:val="none" w:color="FFFFFF" w:sz="0"/>
          <w:right w:val="single" w:color="F5F0DD" w:sz="2" w:space="6"/>
        </w:pBdr>
        <w:shd w:fill="F5F0DD" w:color="auto" w:val="clear"/>
        <w:spacing w:after="30" w:before="0"/>
        <w:ind w:left="160" w:right="16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>tiré sur [banque], encaissé le [JJ/MM/AAAA],</w:t>
      </w:r>
    </w:p>
    <w:p>
      <w:pPr>
        <w:pBdr>
          <w:top w:val="none" w:color="FFFFFF" w:sz="0"/>
          <w:left w:val="single" w:color="700000" w:sz="14" w:space="8"/>
          <w:bottom w:val="single" w:color="F5F0DD" w:sz="2" w:space="6"/>
          <w:right w:val="single" w:color="F5F0DD" w:sz="2" w:space="6"/>
        </w:pBdr>
        <w:shd w:fill="F5F0DD" w:color="auto" w:val="clear"/>
        <w:spacing w:after="160" w:before="0"/>
        <w:ind w:left="160" w:right="16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>pour un montant de [montant] € TTC.</w:t>
      </w:r>
    </w:p>
    <w:p>
      <w:pPr>
        <w:spacing w:after="60" w:before="200"/>
      </w:pPr>
      <w:r>
        <w:rPr>
          <w:rFonts w:ascii="Poppins" w:cs="Poppins" w:eastAsia="Poppins" w:hAnsi="Poppins"/>
          <w:b/>
          <w:bCs/>
          <w:color w:val="700000"/>
          <w:sz w:val="19"/>
          <w:szCs w:val="19"/>
        </w:rPr>
        <w:t xml:space="preserve">Carte bancaire</w:t>
      </w:r>
    </w:p>
    <w:p>
      <w:pPr>
        <w:pBdr>
          <w:top w:val="single" w:color="F5F0DD" w:sz="2" w:space="6"/>
          <w:left w:val="single" w:color="700000" w:sz="14" w:space="8"/>
          <w:bottom w:val="none" w:color="FFFFFF" w:sz="0"/>
          <w:right w:val="single" w:color="F5F0DD" w:sz="2" w:space="6"/>
        </w:pBdr>
        <w:shd w:fill="F5F0DD" w:color="auto" w:val="clear"/>
        <w:spacing w:after="30" w:before="40"/>
        <w:ind w:left="160" w:right="160"/>
      </w:pPr>
      <w:r>
        <w:rPr>
          <w:rFonts w:ascii="Poppins" w:cs="Poppins" w:eastAsia="Poppins" w:hAnsi="Poppins"/>
          <w:b/>
          <w:bCs/>
          <w:color w:val="222222"/>
          <w:sz w:val="19"/>
          <w:szCs w:val="19"/>
        </w:rPr>
        <w:t xml:space="preserve">Facture acquittée le [JJ/MM/AAAA] par carte bancaire,</w:t>
      </w:r>
    </w:p>
    <w:p>
      <w:pPr>
        <w:pBdr>
          <w:top w:val="none" w:color="FFFFFF" w:sz="0"/>
          <w:left w:val="single" w:color="700000" w:sz="14" w:space="8"/>
          <w:bottom w:val="none" w:color="FFFFFF" w:sz="0"/>
          <w:right w:val="single" w:color="F5F0DD" w:sz="2" w:space="6"/>
        </w:pBdr>
        <w:shd w:fill="F5F0DD" w:color="auto" w:val="clear"/>
        <w:spacing w:after="30" w:before="0"/>
        <w:ind w:left="160" w:right="16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>transaction n° [référence du ticket ou du terminal],</w:t>
      </w:r>
    </w:p>
    <w:p>
      <w:pPr>
        <w:pBdr>
          <w:top w:val="none" w:color="FFFFFF" w:sz="0"/>
          <w:left w:val="single" w:color="700000" w:sz="14" w:space="8"/>
          <w:bottom w:val="single" w:color="F5F0DD" w:sz="2" w:space="6"/>
          <w:right w:val="single" w:color="F5F0DD" w:sz="2" w:space="6"/>
        </w:pBdr>
        <w:shd w:fill="F5F0DD" w:color="auto" w:val="clear"/>
        <w:spacing w:after="160" w:before="0"/>
        <w:ind w:left="160" w:right="16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>pour un montant de [montant] € TTC.</w:t>
      </w:r>
    </w:p>
    <w:p>
      <w:pPr>
        <w:spacing w:after="60" w:before="200"/>
      </w:pPr>
      <w:r>
        <w:rPr>
          <w:rFonts w:ascii="Poppins" w:cs="Poppins" w:eastAsia="Poppins" w:hAnsi="Poppins"/>
          <w:b/>
          <w:bCs/>
          <w:color w:val="700000"/>
          <w:sz w:val="19"/>
          <w:szCs w:val="19"/>
        </w:rPr>
        <w:t xml:space="preserve">Espèces</w:t>
      </w:r>
    </w:p>
    <w:p>
      <w:pPr>
        <w:pBdr>
          <w:top w:val="single" w:color="F5F0DD" w:sz="2" w:space="6"/>
          <w:left w:val="single" w:color="700000" w:sz="14" w:space="8"/>
          <w:bottom w:val="none" w:color="FFFFFF" w:sz="0"/>
          <w:right w:val="single" w:color="F5F0DD" w:sz="2" w:space="6"/>
        </w:pBdr>
        <w:shd w:fill="F5F0DD" w:color="auto" w:val="clear"/>
        <w:spacing w:after="30" w:before="40"/>
        <w:ind w:left="160" w:right="160"/>
      </w:pPr>
      <w:r>
        <w:rPr>
          <w:rFonts w:ascii="Poppins" w:cs="Poppins" w:eastAsia="Poppins" w:hAnsi="Poppins"/>
          <w:b/>
          <w:bCs/>
          <w:color w:val="222222"/>
          <w:sz w:val="19"/>
          <w:szCs w:val="19"/>
        </w:rPr>
        <w:t xml:space="preserve">Facture acquittée le [JJ/MM/AAAA] en espèces,</w:t>
      </w:r>
    </w:p>
    <w:p>
      <w:pPr>
        <w:pBdr>
          <w:top w:val="none" w:color="FFFFFF" w:sz="0"/>
          <w:left w:val="single" w:color="700000" w:sz="14" w:space="8"/>
          <w:bottom w:val="none" w:color="FFFFFF" w:sz="0"/>
          <w:right w:val="single" w:color="F5F0DD" w:sz="2" w:space="6"/>
        </w:pBdr>
        <w:shd w:fill="F5F0DD" w:color="auto" w:val="clear"/>
        <w:spacing w:after="30" w:before="0"/>
        <w:ind w:left="160" w:right="16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>reçu la somme de [montant] € TTC,</w:t>
      </w:r>
    </w:p>
    <w:p>
      <w:pPr>
        <w:pBdr>
          <w:top w:val="none" w:color="FFFFFF" w:sz="0"/>
          <w:left w:val="single" w:color="700000" w:sz="14" w:space="8"/>
          <w:bottom w:val="single" w:color="F5F0DD" w:sz="2" w:space="6"/>
          <w:right w:val="single" w:color="F5F0DD" w:sz="2" w:space="6"/>
        </w:pBdr>
        <w:shd w:fill="F5F0DD" w:color="auto" w:val="clear"/>
        <w:spacing w:after="160" w:before="0"/>
        <w:ind w:left="160" w:right="16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>dont quittance.</w:t>
      </w:r>
    </w:p>
    <w:p>
      <w:pPr>
        <w:pBdr>
          <w:top w:val="single" w:color="F5F0DD" w:sz="2" w:space="6"/>
          <w:left w:val="single" w:color="FDA649" w:sz="18" w:space="8"/>
          <w:bottom w:val="none" w:color="FFFFFF" w:sz="0"/>
          <w:right w:val="single" w:color="F5F0DD" w:sz="2" w:space="6"/>
        </w:pBdr>
        <w:shd w:fill="F5F0DD" w:color="auto" w:val="clear"/>
        <w:spacing w:after="40" w:before="120"/>
        <w:ind w:left="200" w:right="160"/>
      </w:pPr>
      <w:r>
        <w:rPr>
          <w:rFonts w:ascii="Poppins" w:cs="Poppins" w:eastAsia="Poppins" w:hAnsi="Poppins"/>
          <w:b/>
          <w:bCs/>
          <w:color w:val="8A5A12"/>
          <w:sz w:val="19"/>
          <w:szCs w:val="19"/>
        </w:rPr>
        <w:t xml:space="preserve">Espèces : c'est là que l'acquit compte le plus</w:t>
      </w:r>
    </w:p>
    <w:p>
      <w:pPr>
        <w:pBdr>
          <w:top w:val="none" w:color="FFFFFF" w:sz="0"/>
          <w:left w:val="single" w:color="FDA649" w:sz="18" w:space="8"/>
          <w:bottom w:val="single" w:color="F5F0DD" w:sz="2" w:space="6"/>
          <w:right w:val="single" w:color="F5F0DD" w:sz="2" w:space="6"/>
        </w:pBdr>
        <w:shd w:fill="F5F0DD" w:color="auto" w:val="clear"/>
        <w:spacing w:after="160" w:before="0"/>
        <w:ind w:left="200" w:right="160"/>
      </w:pPr>
      <w:r>
        <w:rPr>
          <w:rFonts w:ascii="Poppins" w:cs="Poppins" w:eastAsia="Poppins" w:hAnsi="Poppins"/>
          <w:color w:val="222222"/>
          <w:sz w:val="19"/>
          <w:szCs w:val="19"/>
        </w:rPr>
        <w:t xml:space="preserve">Un virement laisse une trace bancaire des deux côtés ; un paiement en espèces, non. L'acquit signé devient alors la seule preuve du règlement — pour vous comme pour votre client. Ne le remettez jamais à plus tard.</w:t>
      </w:r>
    </w:p>
    <w:p>
      <w:pPr>
        <w:spacing w:after="60" w:before="240"/>
      </w:pPr>
      <w:r>
        <w:rPr>
          <w:rFonts w:ascii="Poppins" w:cs="Poppins" w:eastAsia="Poppins" w:hAnsi="Poppins"/>
          <w:b/>
          <w:bCs/>
          <w:color w:val="700000"/>
          <w:sz w:val="22"/>
          <w:szCs w:val="22"/>
        </w:rPr>
        <w:t xml:space="preserve">Le cas que personne ne traite : le paiement partiel</w:t>
      </w:r>
    </w:p>
    <w:p>
      <w:pPr>
        <w:spacing w:after="120" w:before="0"/>
      </w:pPr>
      <w:r>
        <w:rPr>
          <w:rFonts w:ascii="Poppins" w:cs="Poppins" w:eastAsia="Poppins" w:hAnsi="Poppins"/>
          <w:color w:val="222222"/>
          <w:sz w:val="20"/>
          <w:szCs w:val="20"/>
        </w:rPr>
        <w:t xml:space="preserve">Un acompte encaissé, une situation réglée en partie, un solde qui reste dû : la facture n'est pas acquittée. Écrire « acquittée » sur une facture réglée partiellement affaiblit votre créance sur le reste — vous attestez par écrit avoir été payé. Utilisez la formule suivante, qui n'emploie jamais le mot.</w:t>
      </w:r>
    </w:p>
    <w:p>
      <w:pPr>
        <w:spacing w:after="60" w:before="200"/>
      </w:pPr>
      <w:r>
        <w:rPr>
          <w:rFonts w:ascii="Poppins" w:cs="Poppins" w:eastAsia="Poppins" w:hAnsi="Poppins"/>
          <w:b/>
          <w:bCs/>
          <w:color w:val="700000"/>
          <w:sz w:val="19"/>
          <w:szCs w:val="19"/>
        </w:rPr>
        <w:t xml:space="preserve">Règlement partiel — ne pas écrire « acquittée »</w:t>
      </w:r>
    </w:p>
    <w:p>
      <w:pPr>
        <w:pBdr>
          <w:top w:val="single" w:color="F5F0DD" w:sz="2" w:space="6"/>
          <w:left w:val="single" w:color="700000" w:sz="14" w:space="8"/>
          <w:bottom w:val="none" w:color="FFFFFF" w:sz="0"/>
          <w:right w:val="single" w:color="F5F0DD" w:sz="2" w:space="6"/>
        </w:pBdr>
        <w:shd w:fill="F5F0DD" w:color="auto" w:val="clear"/>
        <w:spacing w:after="30" w:before="40"/>
        <w:ind w:left="160" w:right="160"/>
      </w:pPr>
      <w:r>
        <w:rPr>
          <w:rFonts w:ascii="Poppins" w:cs="Poppins" w:eastAsia="Poppins" w:hAnsi="Poppins"/>
          <w:b/>
          <w:bCs/>
          <w:color w:val="222222"/>
          <w:sz w:val="19"/>
          <w:szCs w:val="19"/>
        </w:rPr>
        <w:t xml:space="preserve">Reçu le [JJ/MM/AAAA] la somme de [montant] € TTC</w:t>
      </w:r>
    </w:p>
    <w:p>
      <w:pPr>
        <w:pBdr>
          <w:top w:val="none" w:color="FFFFFF" w:sz="0"/>
          <w:left w:val="single" w:color="700000" w:sz="14" w:space="8"/>
          <w:bottom w:val="none" w:color="FFFFFF" w:sz="0"/>
          <w:right w:val="single" w:color="F5F0DD" w:sz="2" w:space="6"/>
        </w:pBdr>
        <w:shd w:fill="F5F0DD" w:color="auto" w:val="clear"/>
        <w:spacing w:after="30" w:before="0"/>
        <w:ind w:left="160" w:right="16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>par [mode de règlement, référence],</w:t>
      </w:r>
    </w:p>
    <w:p>
      <w:pPr>
        <w:pBdr>
          <w:top w:val="none" w:color="FFFFFF" w:sz="0"/>
          <w:left w:val="single" w:color="700000" w:sz="14" w:space="8"/>
          <w:bottom w:val="none" w:color="FFFFFF" w:sz="0"/>
          <w:right w:val="single" w:color="F5F0DD" w:sz="2" w:space="6"/>
        </w:pBdr>
        <w:shd w:fill="F5F0DD" w:color="auto" w:val="clear"/>
        <w:spacing w:after="30" w:before="0"/>
        <w:ind w:left="160" w:right="16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>à valoir sur la facture n° [numéro] d'un montant de [total] € TTC.</w:t>
      </w:r>
    </w:p>
    <w:p>
      <w:pPr>
        <w:pBdr>
          <w:top w:val="none" w:color="FFFFFF" w:sz="0"/>
          <w:left w:val="single" w:color="700000" w:sz="14" w:space="8"/>
          <w:bottom w:val="single" w:color="F5F0DD" w:sz="2" w:space="6"/>
          <w:right w:val="single" w:color="F5F0DD" w:sz="2" w:space="6"/>
        </w:pBdr>
        <w:shd w:fill="F5F0DD" w:color="auto" w:val="clear"/>
        <w:spacing w:after="160" w:before="0"/>
        <w:ind w:left="160" w:right="160"/>
      </w:pPr>
      <w:r>
        <w:rPr>
          <w:rFonts w:ascii="Poppins" w:cs="Poppins" w:eastAsia="Poppins" w:hAnsi="Poppins"/>
          <w:b w:val="false"/>
          <w:bCs w:val="false"/>
          <w:color w:val="222222"/>
          <w:sz w:val="19"/>
          <w:szCs w:val="19"/>
        </w:rPr>
        <w:t xml:space="preserve">Solde restant dû à ce jour : [montant] € TTC.</w:t>
      </w:r>
    </w:p>
    <w:p>
      <w:pPr>
        <w:pBdr>
          <w:bottom w:val="single" w:color="FDA649" w:sz="12" w:space="6"/>
        </w:pBdr>
        <w:spacing w:after="60" w:before="320"/>
      </w:pPr>
      <w:r>
        <w:rPr>
          <w:rFonts w:ascii="Playfair Display" w:cs="Playfair Display" w:eastAsia="Playfair Display" w:hAnsi="Playfair Display"/>
          <w:b/>
          <w:bCs/>
          <w:color w:val="700000"/>
          <w:sz w:val="30"/>
          <w:szCs w:val="30"/>
        </w:rPr>
        <w:t xml:space="preserve">3. La check-list, et les trois erreurs</w:t>
      </w:r>
    </w:p>
    <w:p>
      <w:pPr>
        <w:spacing w:after="140" w:before="0"/>
      </w:pPr>
      <w:r>
        <w:rPr>
          <w:rFonts w:ascii="Poppins" w:cs="Poppins" w:eastAsia="Poppins" w:hAnsi="Poppins"/>
          <w:color w:val="222222"/>
          <w:sz w:val="20"/>
          <w:szCs w:val="20"/>
        </w:rPr>
        <w:t xml:space="preserve">Quatre mentions donnent à la facture sa valeur de preuve. Une seule qui manque, et le document redevient une facture ordinaire.</w:t>
      </w:r>
    </w:p>
    <w:tbl>
      <w:tblPr>
        <w:tblW w:type="dxa" w:w="8700"/>
        <w:tblBorders>
          <w:top w:val="single" w:color="D9D9D9" w:sz="2"/>
          <w:left w:val="single" w:color="D9D9D9" w:sz="2"/>
          <w:bottom w:val="single" w:color="D9D9D9" w:sz="2"/>
          <w:right w:val="single" w:color="D9D9D9" w:sz="2"/>
          <w:insideH w:val="single" w:color="D9D9D9" w:sz="2"/>
          <w:insideV w:val="single" w:color="D9D9D9" w:sz="2"/>
        </w:tblBorders>
      </w:tblPr>
      <w:tblGrid>
        <w:gridCol w:w="600"/>
        <w:gridCol w:w="3000"/>
        <w:gridCol w:w="5100"/>
      </w:tblGrid>
      <w:tr>
        <w:trPr>
          <w:tblHeader/>
        </w:trPr>
        <w:tc>
          <w:tcPr>
            <w:tcW w:type="dxa" w:w="600"/>
            <w:shd w:fill="F1F3F4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color w:val="222222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shd w:fill="F1F3F4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Mention</w:t>
            </w:r>
          </w:p>
        </w:tc>
        <w:tc>
          <w:tcPr>
            <w:tcW w:type="dxa" w:w="5100"/>
            <w:shd w:fill="F1F3F4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Pourquoi elle compte</w:t>
            </w:r>
          </w:p>
        </w:tc>
      </w:tr>
      <w:tr>
        <w:tc>
          <w:tcPr>
            <w:tcW w:type="dxa" w:w="6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  <w:jc w:val="center"/>
            </w:pPr>
            <w:r>
              <w:rPr>
                <w:rFonts w:ascii="Poppins" w:cs="Poppins" w:eastAsia="Poppins" w:hAnsi="Poppins"/>
                <w:color w:val="222222"/>
                <w:sz w:val="22"/>
                <w:szCs w:val="22"/>
              </w:rPr>
              <w:t xml:space="preserve">☐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La mention « acquittée »</w:t>
            </w:r>
          </w:p>
        </w:tc>
        <w:tc>
          <w:tcPr>
            <w:tcW w:type="dxa" w:w="51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color w:val="222222"/>
                <w:sz w:val="18"/>
                <w:szCs w:val="18"/>
              </w:rPr>
              <w:t xml:space="preserve">C'est elle qui transforme la facture en attestation de paiement. « Payée » a la même portée.</w:t>
            </w:r>
          </w:p>
        </w:tc>
      </w:tr>
      <w:tr>
        <w:tc>
          <w:tcPr>
            <w:tcW w:type="dxa" w:w="600"/>
            <w:shd w:fill="FBFA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  <w:jc w:val="center"/>
            </w:pPr>
            <w:r>
              <w:rPr>
                <w:rFonts w:ascii="Poppins" w:cs="Poppins" w:eastAsia="Poppins" w:hAnsi="Poppins"/>
                <w:color w:val="222222"/>
                <w:sz w:val="22"/>
                <w:szCs w:val="22"/>
              </w:rPr>
              <w:t xml:space="preserve">☐</w:t>
            </w:r>
          </w:p>
        </w:tc>
        <w:tc>
          <w:tcPr>
            <w:tcW w:type="dxa" w:w="3000"/>
            <w:shd w:fill="FBFA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La date effective du règlement</w:t>
            </w:r>
          </w:p>
        </w:tc>
        <w:tc>
          <w:tcPr>
            <w:tcW w:type="dxa" w:w="5100"/>
            <w:shd w:fill="FBFA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color w:val="222222"/>
                <w:sz w:val="18"/>
                <w:szCs w:val="18"/>
              </w:rPr>
              <w:t xml:space="preserve">Distincte de la date d'émission. Un écart entre les deux est normal ; l'absence de date de paiement ruine la preuve.</w:t>
            </w:r>
          </w:p>
        </w:tc>
      </w:tr>
      <w:tr>
        <w:tc>
          <w:tcPr>
            <w:tcW w:type="dxa" w:w="6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  <w:jc w:val="center"/>
            </w:pPr>
            <w:r>
              <w:rPr>
                <w:rFonts w:ascii="Poppins" w:cs="Poppins" w:eastAsia="Poppins" w:hAnsi="Poppins"/>
                <w:color w:val="222222"/>
                <w:sz w:val="22"/>
                <w:szCs w:val="22"/>
              </w:rPr>
              <w:t xml:space="preserve">☐</w:t>
            </w:r>
          </w:p>
        </w:tc>
        <w:tc>
          <w:tcPr>
            <w:tcW w:type="dxa" w:w="30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Le mode de règlement et sa référence</w:t>
            </w:r>
          </w:p>
        </w:tc>
        <w:tc>
          <w:tcPr>
            <w:tcW w:type="dxa" w:w="51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color w:val="222222"/>
                <w:sz w:val="18"/>
                <w:szCs w:val="18"/>
              </w:rPr>
              <w:t xml:space="preserve">C'est ce qui rend le paiement vérifiable : numéro de chèque, référence de virement, numéro de transaction.</w:t>
            </w:r>
          </w:p>
        </w:tc>
      </w:tr>
      <w:tr>
        <w:tc>
          <w:tcPr>
            <w:tcW w:type="dxa" w:w="600"/>
            <w:shd w:fill="FBFA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  <w:jc w:val="center"/>
            </w:pPr>
            <w:r>
              <w:rPr>
                <w:rFonts w:ascii="Poppins" w:cs="Poppins" w:eastAsia="Poppins" w:hAnsi="Poppins"/>
                <w:color w:val="222222"/>
                <w:sz w:val="22"/>
                <w:szCs w:val="22"/>
              </w:rPr>
              <w:t xml:space="preserve">☐</w:t>
            </w:r>
          </w:p>
        </w:tc>
        <w:tc>
          <w:tcPr>
            <w:tcW w:type="dxa" w:w="3000"/>
            <w:shd w:fill="FBFA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Le cachet ou la signature</w:t>
            </w:r>
          </w:p>
        </w:tc>
        <w:tc>
          <w:tcPr>
            <w:tcW w:type="dxa" w:w="5100"/>
            <w:shd w:fill="FBFA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color w:val="222222"/>
                <w:sz w:val="18"/>
                <w:szCs w:val="18"/>
              </w:rPr>
              <w:t xml:space="preserve">Aucun texte ne l'impose, mais c'est lui qui authentifie la mention. Sans signature, la force probante baisse nettement.</w:t>
            </w:r>
          </w:p>
        </w:tc>
      </w:tr>
    </w:tbl>
    <w:p>
      <w:pPr>
        <w:spacing w:after="60" w:before="240"/>
      </w:pPr>
      <w:r>
        <w:rPr>
          <w:rFonts w:ascii="Poppins" w:cs="Poppins" w:eastAsia="Poppins" w:hAnsi="Poppins"/>
          <w:b/>
          <w:bCs/>
          <w:color w:val="700000"/>
          <w:sz w:val="22"/>
          <w:szCs w:val="22"/>
        </w:rPr>
        <w:t xml:space="preserve">Les trois erreurs qui annulent la preuve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Poppins" w:cs="Poppins" w:eastAsia="Poppins" w:hAnsi="Poppins"/>
          <w:sz w:val="20"/>
          <w:szCs w:val="20"/>
        </w:rPr>
        <w:t xml:space="preserve">Acquitter avant l'encaissement réel. Le chèque impayé arrive après votre signature.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Poppins" w:cs="Poppins" w:eastAsia="Poppins" w:hAnsi="Poppins"/>
          <w:sz w:val="20"/>
          <w:szCs w:val="20"/>
        </w:rPr>
        <w:t xml:space="preserve">Écrire « acquittée » sur un règlement partiel. Vous attestez par écrit d'un paiement intégral que vous n'avez pas reçu.</w:t>
      </w:r>
    </w:p>
    <w:p>
      <w:pPr>
        <w:pStyle w:val="ListParagraph"/>
        <w:numPr>
          <w:ilvl w:val="0"/>
          <w:numId w:val="2"/>
        </w:numPr>
        <w:spacing w:after="140"/>
      </w:pPr>
      <w:r>
        <w:rPr>
          <w:rFonts w:ascii="Poppins" w:cs="Poppins" w:eastAsia="Poppins" w:hAnsi="Poppins"/>
          <w:sz w:val="20"/>
          <w:szCs w:val="20"/>
        </w:rPr>
        <w:t xml:space="preserve">Omettre la date de règlement ou le mode de paiement. Le document ne prouve plus rien de vérifiable.</w:t>
      </w:r>
    </w:p>
    <w:p>
      <w:pPr>
        <w:pBdr>
          <w:top w:val="single" w:color="F1F3F4" w:sz="2" w:space="6"/>
          <w:left w:val="single" w:color="1489AC" w:sz="18" w:space="8"/>
          <w:bottom w:val="none" w:color="FFFFFF" w:sz="0"/>
          <w:right w:val="single" w:color="F1F3F4" w:sz="2" w:space="6"/>
        </w:pBdr>
        <w:shd w:fill="F1F3F4" w:color="auto" w:val="clear"/>
        <w:spacing w:after="40" w:before="120"/>
        <w:ind w:left="200" w:right="160"/>
      </w:pPr>
      <w:r>
        <w:rPr>
          <w:rFonts w:ascii="Poppins" w:cs="Poppins" w:eastAsia="Poppins" w:hAnsi="Poppins"/>
          <w:b/>
          <w:bCs/>
          <w:color w:val="0F6C85"/>
          <w:sz w:val="19"/>
          <w:szCs w:val="19"/>
        </w:rPr>
        <w:t xml:space="preserve">Combien de temps la conserver ?</w:t>
      </w:r>
    </w:p>
    <w:p>
      <w:pPr>
        <w:pBdr>
          <w:top w:val="none" w:color="FFFFFF" w:sz="0"/>
          <w:left w:val="single" w:color="1489AC" w:sz="18" w:space="8"/>
          <w:bottom w:val="single" w:color="F1F3F4" w:sz="2" w:space="6"/>
          <w:right w:val="single" w:color="F1F3F4" w:sz="2" w:space="6"/>
        </w:pBdr>
        <w:shd w:fill="F1F3F4" w:color="auto" w:val="clear"/>
        <w:spacing w:after="160" w:before="0"/>
        <w:ind w:left="200" w:right="160"/>
      </w:pPr>
      <w:r>
        <w:rPr>
          <w:rFonts w:ascii="Poppins" w:cs="Poppins" w:eastAsia="Poppins" w:hAnsi="Poppins"/>
          <w:color w:val="222222"/>
          <w:sz w:val="19"/>
          <w:szCs w:val="19"/>
        </w:rPr>
        <w:t xml:space="preserve">Dix ans à compter de la clôture de l'exercice, comme toute pièce comptable — article L. 123-22 du Code de commerce. Des deux côtés : celui qui a payé comme celui qui a encaissé.</w:t>
      </w:r>
    </w:p>
    <w:p>
      <w:pPr>
        <w:pBdr>
          <w:bottom w:val="single" w:color="FDA649" w:sz="12" w:space="6"/>
        </w:pBdr>
        <w:spacing w:after="60" w:before="320"/>
      </w:pPr>
      <w:r>
        <w:rPr>
          <w:rFonts w:ascii="Playfair Display" w:cs="Playfair Display" w:eastAsia="Playfair Display" w:hAnsi="Playfair Display"/>
          <w:b/>
          <w:bCs/>
          <w:color w:val="700000"/>
          <w:sz w:val="30"/>
          <w:szCs w:val="30"/>
        </w:rPr>
        <w:t xml:space="preserve">4. Quand elle vous sera réclamée</w:t>
      </w:r>
    </w:p>
    <w:p>
      <w:pPr>
        <w:spacing w:after="140" w:before="0"/>
      </w:pPr>
      <w:r>
        <w:rPr>
          <w:rFonts w:ascii="Poppins" w:cs="Poppins" w:eastAsia="Poppins" w:hAnsi="Poppins"/>
          <w:color w:val="222222"/>
          <w:sz w:val="20"/>
          <w:szCs w:val="20"/>
        </w:rPr>
        <w:t xml:space="preserve">Facultative en principe, la facture acquittée devient de fait obligatoire dans cinq situations courantes. Dans le bâtiment, ce sont souvent vos clients qui vous la demandent.</w:t>
      </w:r>
    </w:p>
    <w:tbl>
      <w:tblPr>
        <w:tblW w:type="dxa" w:w="8700"/>
        <w:tblBorders>
          <w:top w:val="single" w:color="D9D9D9" w:sz="2"/>
          <w:left w:val="single" w:color="D9D9D9" w:sz="2"/>
          <w:bottom w:val="single" w:color="D9D9D9" w:sz="2"/>
          <w:right w:val="single" w:color="D9D9D9" w:sz="2"/>
          <w:insideH w:val="single" w:color="D9D9D9" w:sz="2"/>
          <w:insideV w:val="single" w:color="D9D9D9" w:sz="2"/>
        </w:tblBorders>
      </w:tblPr>
      <w:tblGrid>
        <w:gridCol w:w="2900"/>
        <w:gridCol w:w="5800"/>
      </w:tblGrid>
      <w:tr>
        <w:trPr>
          <w:tblHeader/>
        </w:trPr>
        <w:tc>
          <w:tcPr>
            <w:tcW w:type="dxa" w:w="2900"/>
            <w:shd w:fill="F1F3F4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Situation</w:t>
            </w:r>
          </w:p>
        </w:tc>
        <w:tc>
          <w:tcPr>
            <w:tcW w:type="dxa" w:w="5800"/>
            <w:shd w:fill="F1F3F4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Qui la demande, et pourquoi</w:t>
            </w:r>
          </w:p>
        </w:tc>
      </w:tr>
      <w:tr>
        <w:tc>
          <w:tcPr>
            <w:tcW w:type="dxa" w:w="29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Aides à la rénovation</w:t>
            </w:r>
          </w:p>
        </w:tc>
        <w:tc>
          <w:tcPr>
            <w:tcW w:type="dxa" w:w="58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color w:val="222222"/>
                <w:sz w:val="18"/>
                <w:szCs w:val="18"/>
              </w:rPr>
              <w:t xml:space="preserve">Votre client particulier doit prouver qu'il a payé pour débloquer son aide ou son crédit d'impôt. Sans votre acquit, son dossier reste bloqué — et il vous rappellera.</w:t>
            </w:r>
          </w:p>
        </w:tc>
      </w:tr>
      <w:tr>
        <w:tc>
          <w:tcPr>
            <w:tcW w:type="dxa" w:w="2900"/>
            <w:shd w:fill="FBFA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Subventions et fonds publics</w:t>
            </w:r>
          </w:p>
        </w:tc>
        <w:tc>
          <w:tcPr>
            <w:tcW w:type="dxa" w:w="5800"/>
            <w:shd w:fill="FBFA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color w:val="222222"/>
                <w:sz w:val="18"/>
                <w:szCs w:val="18"/>
              </w:rPr>
              <w:t xml:space="preserve">Les financeurs exigent la preuve que la dépense a été réglée, pas seulement engagée. Une facture non acquittée ne déclenche aucun versement.</w:t>
            </w:r>
          </w:p>
        </w:tc>
      </w:tr>
      <w:tr>
        <w:tc>
          <w:tcPr>
            <w:tcW w:type="dxa" w:w="29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Marchés publics</w:t>
            </w:r>
          </w:p>
        </w:tc>
        <w:tc>
          <w:tcPr>
            <w:tcW w:type="dxa" w:w="58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color w:val="222222"/>
                <w:sz w:val="18"/>
                <w:szCs w:val="18"/>
              </w:rPr>
              <w:t xml:space="preserve">Justification du paiement des sous-traitants, pièces du décompte, contrôles de l'acheteur.</w:t>
            </w:r>
          </w:p>
        </w:tc>
      </w:tr>
      <w:tr>
        <w:tc>
          <w:tcPr>
            <w:tcW w:type="dxa" w:w="2900"/>
            <w:shd w:fill="FBFA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Banque et financement</w:t>
            </w:r>
          </w:p>
        </w:tc>
        <w:tc>
          <w:tcPr>
            <w:tcW w:type="dxa" w:w="5800"/>
            <w:shd w:fill="FBFAF6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color w:val="222222"/>
                <w:sz w:val="18"/>
                <w:szCs w:val="18"/>
              </w:rPr>
              <w:t xml:space="preserve">Déblocage de prêt, justification d'un investissement, dossier de garantie.</w:t>
            </w:r>
          </w:p>
        </w:tc>
      </w:tr>
      <w:tr>
        <w:tc>
          <w:tcPr>
            <w:tcW w:type="dxa" w:w="29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b/>
                <w:bCs/>
                <w:color w:val="222222"/>
                <w:sz w:val="18"/>
                <w:szCs w:val="18"/>
              </w:rPr>
              <w:t xml:space="preserve">Assurance et garanties</w:t>
            </w:r>
          </w:p>
        </w:tc>
        <w:tc>
          <w:tcPr>
            <w:tcW w:type="dxa" w:w="58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rFonts w:ascii="Poppins" w:cs="Poppins" w:eastAsia="Poppins" w:hAnsi="Poppins"/>
                <w:color w:val="222222"/>
                <w:sz w:val="18"/>
                <w:szCs w:val="18"/>
              </w:rPr>
              <w:t xml:space="preserve">Mise en jeu d'une garantie, remboursement de frais, sinistre : l'assureur veut la preuve du règlement.</w:t>
            </w:r>
          </w:p>
        </w:tc>
      </w:tr>
    </w:tbl>
    <w:p>
      <w:pPr>
        <w:pBdr>
          <w:top w:val="single" w:color="F1F3F4" w:sz="2" w:space="6"/>
          <w:left w:val="single" w:color="1489AC" w:sz="18" w:space="8"/>
          <w:bottom w:val="none" w:color="FFFFFF" w:sz="0"/>
          <w:right w:val="single" w:color="F1F3F4" w:sz="2" w:space="6"/>
        </w:pBdr>
        <w:shd w:fill="F1F3F4" w:color="auto" w:val="clear"/>
        <w:spacing w:after="40" w:before="120"/>
        <w:ind w:left="200" w:right="160"/>
      </w:pPr>
      <w:r>
        <w:rPr>
          <w:rFonts w:ascii="Poppins" w:cs="Poppins" w:eastAsia="Poppins" w:hAnsi="Poppins"/>
          <w:b/>
          <w:bCs/>
          <w:color w:val="0F6C85"/>
          <w:sz w:val="19"/>
          <w:szCs w:val="19"/>
        </w:rPr>
        <w:t xml:space="preserve">Ne pas confondre</w:t>
      </w:r>
    </w:p>
    <w:p>
      <w:pPr>
        <w:pBdr>
          <w:top w:val="none" w:color="FFFFFF" w:sz="0"/>
          <w:left w:val="single" w:color="1489AC" w:sz="18" w:space="8"/>
          <w:bottom w:val="none" w:color="FFFFFF" w:sz="0"/>
          <w:right w:val="single" w:color="F1F3F4" w:sz="2" w:space="6"/>
        </w:pBdr>
        <w:shd w:fill="F1F3F4" w:color="auto" w:val="clear"/>
        <w:spacing w:after="40" w:before="0"/>
        <w:ind w:left="200" w:right="160"/>
      </w:pPr>
      <w:r>
        <w:rPr>
          <w:rFonts w:ascii="Poppins" w:cs="Poppins" w:eastAsia="Poppins" w:hAnsi="Poppins"/>
          <w:color w:val="222222"/>
          <w:sz w:val="19"/>
          <w:szCs w:val="19"/>
        </w:rPr>
        <w:t xml:space="preserve">Facture échue : le paiement est exigible, mais rien ne dit qu'il a eu lieu.</w:t>
      </w:r>
    </w:p>
    <w:p>
      <w:pPr>
        <w:pBdr>
          <w:top w:val="none" w:color="FFFFFF" w:sz="0"/>
          <w:left w:val="single" w:color="1489AC" w:sz="18" w:space="8"/>
          <w:bottom w:val="none" w:color="FFFFFF" w:sz="0"/>
          <w:right w:val="single" w:color="F1F3F4" w:sz="2" w:space="6"/>
        </w:pBdr>
        <w:shd w:fill="F1F3F4" w:color="auto" w:val="clear"/>
        <w:spacing w:after="40" w:before="0"/>
        <w:ind w:left="200" w:right="160"/>
      </w:pPr>
      <w:r>
        <w:rPr>
          <w:rFonts w:ascii="Poppins" w:cs="Poppins" w:eastAsia="Poppins" w:hAnsi="Poppins"/>
          <w:color w:val="222222"/>
          <w:sz w:val="19"/>
          <w:szCs w:val="19"/>
        </w:rPr>
        <w:t xml:space="preserve">Facture « payée » dans votre logiciel : c'est un statut interne, il ne prouve rien tant qu'il n'est pas écrit sur le document remis au client.</w:t>
      </w:r>
    </w:p>
    <w:p>
      <w:pPr>
        <w:pBdr>
          <w:top w:val="none" w:color="FFFFFF" w:sz="0"/>
          <w:left w:val="single" w:color="1489AC" w:sz="18" w:space="8"/>
          <w:bottom w:val="single" w:color="F1F3F4" w:sz="2" w:space="6"/>
          <w:right w:val="single" w:color="F1F3F4" w:sz="2" w:space="6"/>
        </w:pBdr>
        <w:shd w:fill="F1F3F4" w:color="auto" w:val="clear"/>
        <w:spacing w:after="160" w:before="0"/>
        <w:ind w:left="200" w:right="160"/>
      </w:pPr>
      <w:r>
        <w:rPr>
          <w:rFonts w:ascii="Poppins" w:cs="Poppins" w:eastAsia="Poppins" w:hAnsi="Poppins"/>
          <w:color w:val="222222"/>
          <w:sz w:val="19"/>
          <w:szCs w:val="19"/>
        </w:rPr>
        <w:t xml:space="preserve">Quittance : un document distinct par lequel vous reconnaissez avoir reçu une somme. La facture acquittée fait la même chose, sur la facture elle-même.</w:t>
      </w:r>
    </w:p>
    <w:p>
      <w:pPr>
        <w:pBdr>
          <w:top w:val="single" w:color="FDA649" w:sz="8" w:space="10"/>
        </w:pBdr>
        <w:spacing w:after="60" w:before="320"/>
      </w:pPr>
      <w:r>
        <w:rPr>
          <w:rFonts w:ascii="Playfair Display" w:cs="Playfair Display" w:eastAsia="Playfair Display" w:hAnsi="Playfair Display"/>
          <w:b/>
          <w:bCs/>
          <w:color w:val="700000"/>
          <w:sz w:val="26"/>
          <w:szCs w:val="26"/>
        </w:rPr>
        <w:t xml:space="preserve">Et si l'acquit se posait tout seul ?</w:t>
      </w:r>
    </w:p>
    <w:p>
      <w:pPr>
        <w:spacing w:after="100" w:before="0"/>
      </w:pPr>
      <w:r>
        <w:rPr>
          <w:rFonts w:ascii="Poppins" w:cs="Poppins" w:eastAsia="Poppins" w:hAnsi="Poppins"/>
          <w:color w:val="222222"/>
          <w:sz w:val="20"/>
          <w:szCs w:val="20"/>
        </w:rPr>
        <w:t xml:space="preserve">Dans les logiciels WHY, le règlement encaissé bascule la facture en acquittée et imprime la mention, la date, le mode et la référence sans que personne ne les retape — et la facture ressort prête à envoyer au client qui monte son dossier d'aide. Licence à l'achat, sans abonnement, éditeur français.</w:t>
      </w:r>
    </w:p>
    <w:p>
      <w:pPr>
        <w:spacing w:after="60" w:before="0"/>
      </w:pPr>
      <w:r>
        <w:rPr>
          <w:rFonts w:ascii="Poppins" w:cs="Poppins" w:eastAsia="Poppins" w:hAnsi="Poppins"/>
          <w:b/>
          <w:bCs/>
          <w:color w:val="700000"/>
          <w:sz w:val="19"/>
          <w:szCs w:val="19"/>
        </w:rPr>
        <w:t xml:space="preserve">why.eu · contact@why.eu · 03 20 54 89 42 — démonstration gratuite de 30 minutes, adaptée à votre métier.</w:t>
      </w:r>
    </w:p>
    <w:p>
      <w:pPr>
        <w:spacing w:after="120" w:before="0"/>
      </w:pPr>
      <w:r>
        <w:rPr>
          <w:rFonts w:ascii="Poppins" w:cs="Poppins" w:eastAsia="Poppins" w:hAnsi="Poppins"/>
          <w:i/>
          <w:iCs/>
          <w:color w:val="656565"/>
          <w:sz w:val="15"/>
          <w:szCs w:val="15"/>
        </w:rPr>
        <w:t xml:space="preserve">Ce document est fourni à titre informatif et ne constitue pas un conseil juridique. En cas de litige ou de doute sur un dossier, rapprochez-vous de votre expert-comptable ou de votre conseil.</w:t>
      </w:r>
    </w:p>
    <w:sectPr>
      <w:headerReference w:type="default" r:id="rId7"/>
      <w:footerReference w:type="default" r:id="rId8"/>
      <w:pgSz w:w="11906" w:h="16838" w:orient="portrait"/>
      <w:pgMar w:top="10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489AC" w:sz="6" w:space="8"/>
      </w:pBdr>
      <w:spacing w:before="60"/>
    </w:pPr>
    <w:r>
      <w:rPr>
        <w:rFonts w:ascii="Poppins" w:cs="Poppins" w:eastAsia="Poppins" w:hAnsi="Poppins"/>
        <w:color w:val="656565"/>
        <w:sz w:val="15"/>
        <w:szCs w:val="15"/>
      </w:rPr>
      <w:t xml:space="preserve">WhySoft Group — SARL — Landas (59) · why.eu · 03 20 54 89 42</w:t>
    </w:r>
    <w:r>
      <w:ptab w:alignment="right" w:relativeTo="margin" w:leader="none"/>
    </w:r>
    <w:r>
      <w:rPr>
        <w:rFonts w:ascii="Poppins" w:cs="Poppins" w:eastAsia="Poppins" w:hAnsi="Poppins"/>
        <w:color w:val="656565"/>
        <w:sz w:val="15"/>
        <w:szCs w:val="15"/>
      </w:rPr>
      <w:t xml:space="preserve">Page </w:t>
      <w:fldChar w:fldCharType="begin"/>
      <w:instrText xml:space="preserve">PAGE</w:instrText>
      <w:fldChar w:fldCharType="separate"/>
      <w:fldChar w:fldCharType="end"/>
      <w:t xml:space="preserve"> /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700000" w:sz="8" w:space="8"/>
      </w:pBdr>
      <w:spacing w:after="0"/>
    </w:pPr>
    <w:r>
      <w:drawing>
        <wp:inline distT="0" distB="0" distL="0" distR="0">
          <wp:extent cx="1123950" cy="3238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alignment="right" w:relativeTo="margin" w:leader="none"/>
    </w:r>
    <w:r>
      <w:rPr>
        <w:rFonts w:ascii="Poppins" w:cs="Poppins" w:eastAsia="Poppins" w:hAnsi="Poppins"/>
        <w:color w:val="656565"/>
        <w:sz w:val="17"/>
        <w:szCs w:val="17"/>
      </w:rPr>
      <w:t xml:space="preserve">Kit facture acquittée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00"/>
      </w:pPr>
      <w:rPr>
        <w:b/>
        <w:bCs/>
        <w:color w:val="FDA649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222222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015d06bf44005594fb3a51d03f567c35ff93e7da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2026-08-20T22:38:43.527Z</dcterms:created>
  <dcterms:modified xsi:type="dcterms:W3CDTF">2026-08-20T22:38:43.527Z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